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0B445" w14:textId="74791BD8" w:rsidR="00855D6D" w:rsidRPr="00D24032" w:rsidRDefault="00855D6D" w:rsidP="64D1B613">
      <w:pPr>
        <w:jc w:val="center"/>
        <w:rPr>
          <w:rFonts w:ascii="Palace Script MT" w:hAnsi="Palace Script MT"/>
          <w:b/>
          <w:bCs/>
          <w:sz w:val="96"/>
          <w:szCs w:val="96"/>
        </w:rPr>
      </w:pPr>
      <w:bookmarkStart w:id="0" w:name="SOMMARIO"/>
      <w:bookmarkEnd w:id="0"/>
      <w:r w:rsidRPr="00D24032">
        <w:rPr>
          <w:noProof/>
        </w:rPr>
        <w:drawing>
          <wp:inline distT="0" distB="0" distL="0" distR="0" wp14:anchorId="1518A2F8" wp14:editId="0E25F270">
            <wp:extent cx="695325" cy="781050"/>
            <wp:effectExtent l="0" t="0" r="9525" b="0"/>
            <wp:docPr id="280253670" name="Picture 3" descr="l'emblem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80B368" w14:textId="77777777" w:rsidR="00855D6D" w:rsidRPr="00D24032" w:rsidRDefault="00855D6D" w:rsidP="00855D6D">
      <w:pPr>
        <w:jc w:val="center"/>
        <w:rPr>
          <w:rFonts w:ascii="Kunstler Script" w:hAnsi="Kunstler Script"/>
          <w:sz w:val="118"/>
          <w:szCs w:val="118"/>
        </w:rPr>
      </w:pPr>
      <w:r w:rsidRPr="00D24032">
        <w:rPr>
          <w:rFonts w:ascii="Kunstler Script" w:hAnsi="Kunstler Script"/>
          <w:sz w:val="118"/>
          <w:szCs w:val="118"/>
        </w:rPr>
        <w:t>Ministero della Giustizia</w:t>
      </w:r>
    </w:p>
    <w:p w14:paraId="646F4577" w14:textId="77777777" w:rsidR="00855D6D" w:rsidRPr="00D24032" w:rsidRDefault="00855D6D" w:rsidP="00855D6D">
      <w:pPr>
        <w:ind w:right="707" w:firstLine="567"/>
        <w:jc w:val="center"/>
        <w:rPr>
          <w:rFonts w:ascii="Kunstler Script" w:hAnsi="Kunstler Script"/>
          <w:sz w:val="52"/>
          <w:szCs w:val="52"/>
        </w:rPr>
      </w:pPr>
      <w:r w:rsidRPr="00D24032">
        <w:rPr>
          <w:rFonts w:ascii="Kunstler Script" w:hAnsi="Kunstler Script"/>
          <w:sz w:val="52"/>
          <w:szCs w:val="52"/>
        </w:rPr>
        <w:t>Dipartimento per l’innovazione tecnologica della giustizia</w:t>
      </w:r>
    </w:p>
    <w:p w14:paraId="157008C0" w14:textId="298814DC" w:rsidR="2F79D3C6" w:rsidRPr="00D24032" w:rsidRDefault="2F79D3C6" w:rsidP="2F79D3C6"/>
    <w:p w14:paraId="67B53D8F" w14:textId="77777777" w:rsidR="0000165D" w:rsidRPr="00D24032" w:rsidRDefault="0000165D" w:rsidP="0000165D"/>
    <w:p w14:paraId="2F078BFD" w14:textId="77777777" w:rsidR="0000165D" w:rsidRPr="00D24032" w:rsidRDefault="0000165D" w:rsidP="0000165D"/>
    <w:p w14:paraId="4F92381C" w14:textId="77777777" w:rsidR="0000165D" w:rsidRPr="00D24032" w:rsidRDefault="0000165D" w:rsidP="0000165D"/>
    <w:p w14:paraId="377F63C9" w14:textId="77777777" w:rsidR="0000165D" w:rsidRPr="00D24032" w:rsidRDefault="0000165D" w:rsidP="0000165D"/>
    <w:p w14:paraId="2D23F927" w14:textId="73D54E31" w:rsidR="0000165D" w:rsidRPr="00D24032" w:rsidRDefault="0000165D" w:rsidP="0000165D"/>
    <w:p w14:paraId="581A0C8E" w14:textId="77777777" w:rsidR="0000165D" w:rsidRPr="00D24032" w:rsidRDefault="0000165D" w:rsidP="0000165D"/>
    <w:p w14:paraId="7A60970C" w14:textId="77777777" w:rsidR="0000165D" w:rsidRPr="00D24032" w:rsidRDefault="0000165D" w:rsidP="0000165D">
      <w:pPr>
        <w:rPr>
          <w:rFonts w:ascii="Palatino Linotype" w:hAnsi="Palatino Linotype"/>
        </w:rPr>
      </w:pPr>
    </w:p>
    <w:p w14:paraId="668FA40A" w14:textId="77777777" w:rsidR="0000165D" w:rsidRPr="00D24032" w:rsidRDefault="0000165D" w:rsidP="0000165D">
      <w:pPr>
        <w:rPr>
          <w:rFonts w:ascii="Palatino Linotype" w:hAnsi="Palatino Linotype"/>
          <w:color w:val="000000" w:themeColor="text1"/>
          <w:sz w:val="36"/>
          <w:szCs w:val="36"/>
        </w:rPr>
      </w:pPr>
    </w:p>
    <w:p w14:paraId="2F94F710" w14:textId="7BECE796" w:rsidR="0000165D" w:rsidRPr="00D24032" w:rsidRDefault="0000165D" w:rsidP="0000165D">
      <w:pPr>
        <w:jc w:val="center"/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</w:pPr>
      <w:r w:rsidRPr="00D24032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R</w:t>
      </w:r>
      <w:r w:rsidR="00DC2431" w:rsidRPr="00D24032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 xml:space="preserve">apporto </w:t>
      </w:r>
      <w:r w:rsidRPr="00D24032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A</w:t>
      </w:r>
      <w:r w:rsidR="00DC2431" w:rsidRPr="00D24032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 xml:space="preserve">vanzamento </w:t>
      </w:r>
      <w:r w:rsidRPr="00D24032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C</w:t>
      </w:r>
      <w:r w:rsidR="00DC2431" w:rsidRPr="00D24032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ontrattuale (RAC)</w:t>
      </w:r>
    </w:p>
    <w:p w14:paraId="00D6FC14" w14:textId="77777777" w:rsidR="0000165D" w:rsidRPr="00D24032" w:rsidRDefault="0000165D" w:rsidP="0000165D">
      <w:pPr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3FB7B71D" w14:textId="77777777" w:rsidR="004447DB" w:rsidRPr="00D24032" w:rsidRDefault="004447DB" w:rsidP="004447DB">
      <w:pPr>
        <w:tabs>
          <w:tab w:val="left" w:pos="3214"/>
        </w:tabs>
        <w:jc w:val="center"/>
        <w:rPr>
          <w:rFonts w:ascii="Palatino Linotype" w:hAnsi="Palatino Linotype"/>
          <w:color w:val="000000" w:themeColor="text1"/>
          <w:sz w:val="36"/>
          <w:szCs w:val="36"/>
        </w:rPr>
      </w:pPr>
      <w:r w:rsidRPr="00D24032">
        <w:rPr>
          <w:rFonts w:ascii="Palatino Linotype" w:hAnsi="Palatino Linotype"/>
          <w:color w:val="000000" w:themeColor="text1"/>
          <w:sz w:val="36"/>
          <w:szCs w:val="36"/>
        </w:rPr>
        <w:t>Fornitura di licenze e servizi Oracle – CIG:</w:t>
      </w:r>
      <w:r w:rsidRPr="00D24032">
        <w:rPr>
          <w:rFonts w:ascii="Palatino Linotype" w:hAnsi="Palatino Linotype"/>
        </w:rPr>
        <w:t xml:space="preserve"> </w:t>
      </w:r>
      <w:r w:rsidRPr="00D24032">
        <w:rPr>
          <w:rFonts w:ascii="Palatino Linotype" w:hAnsi="Palatino Linotype"/>
          <w:color w:val="000000" w:themeColor="text1"/>
          <w:sz w:val="36"/>
          <w:szCs w:val="36"/>
        </w:rPr>
        <w:t>A02A0C50B1</w:t>
      </w:r>
    </w:p>
    <w:p w14:paraId="515FD95B" w14:textId="77777777" w:rsidR="00D93EF0" w:rsidRPr="00D24032" w:rsidRDefault="00D93EF0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011C830C" w14:textId="77777777" w:rsidR="00DE4EB7" w:rsidRPr="00D24032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4161AA86" w14:textId="77777777" w:rsidR="00DE4EB7" w:rsidRPr="00D24032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212E1DE3" w14:textId="77777777" w:rsidR="00DE4EB7" w:rsidRPr="00D24032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25A67296" w14:textId="77777777" w:rsidR="00DE4EB7" w:rsidRPr="00D24032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33FEAE8A" w14:textId="77777777" w:rsidR="00DE4EB7" w:rsidRPr="00D24032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186732B5" w14:textId="77777777" w:rsidR="00DE4EB7" w:rsidRPr="00D24032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49BC8041" w14:textId="77777777" w:rsidR="00DE4EB7" w:rsidRPr="00D24032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54BC20D8" w14:textId="77777777" w:rsidR="000B2ACA" w:rsidRPr="00D24032" w:rsidRDefault="000B2ACA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2C8B177F" w14:textId="77777777" w:rsidR="00236E0B" w:rsidRPr="00D24032" w:rsidRDefault="00236E0B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7FC5D6DB" w14:textId="77777777" w:rsidR="000B2ACA" w:rsidRPr="00D24032" w:rsidRDefault="000B2ACA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5050BE61" w14:textId="77777777" w:rsidR="000B2ACA" w:rsidRPr="00D24032" w:rsidRDefault="000B2ACA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sdt>
      <w:sdtPr>
        <w:rPr>
          <w:rFonts w:ascii="Palatino Linotype" w:hAnsi="Palatino Linotype"/>
        </w:rPr>
        <w:id w:val="632674302"/>
        <w:docPartObj>
          <w:docPartGallery w:val="Table of Contents"/>
          <w:docPartUnique/>
        </w:docPartObj>
      </w:sdtPr>
      <w:sdtContent>
        <w:p w14:paraId="750B3D5F" w14:textId="77777777" w:rsidR="00DE4EB7" w:rsidRPr="00D24032" w:rsidRDefault="00DE4EB7" w:rsidP="64D1B613">
          <w:pPr>
            <w:rPr>
              <w:rFonts w:ascii="Palatino Linotype" w:eastAsiaTheme="majorEastAsia" w:hAnsi="Palatino Linotype" w:cstheme="minorBidi"/>
              <w:b/>
              <w:bCs/>
              <w:sz w:val="32"/>
              <w:szCs w:val="32"/>
            </w:rPr>
          </w:pPr>
          <w:r w:rsidRPr="00D24032">
            <w:rPr>
              <w:rFonts w:ascii="Palatino Linotype" w:eastAsiaTheme="majorEastAsia" w:hAnsi="Palatino Linotype" w:cstheme="minorBidi"/>
              <w:b/>
              <w:bCs/>
              <w:sz w:val="32"/>
              <w:szCs w:val="32"/>
            </w:rPr>
            <w:t>Sommario</w:t>
          </w:r>
        </w:p>
        <w:p w14:paraId="4B3E5155" w14:textId="77777777" w:rsidR="00DE4EB7" w:rsidRPr="00D24032" w:rsidRDefault="00DE4EB7" w:rsidP="64D1B613">
          <w:pPr>
            <w:rPr>
              <w:rFonts w:ascii="Palatino Linotype" w:hAnsi="Palatino Linotype" w:cstheme="minorBidi"/>
              <w:sz w:val="24"/>
              <w:szCs w:val="24"/>
            </w:rPr>
          </w:pPr>
        </w:p>
        <w:p w14:paraId="13D37266" w14:textId="5A586602" w:rsidR="00D24032" w:rsidRPr="00D24032" w:rsidRDefault="00E56FED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r w:rsidRPr="00D24032">
            <w:rPr>
              <w:rFonts w:ascii="Palatino Linotype" w:hAnsi="Palatino Linotype"/>
            </w:rPr>
            <w:fldChar w:fldCharType="begin"/>
          </w:r>
          <w:r w:rsidR="00DE4EB7" w:rsidRPr="00D24032">
            <w:rPr>
              <w:rFonts w:ascii="Palatino Linotype" w:hAnsi="Palatino Linotype"/>
            </w:rPr>
            <w:instrText>TOC \o "1-3" \z \u \h</w:instrText>
          </w:r>
          <w:r w:rsidRPr="00D24032">
            <w:rPr>
              <w:rFonts w:ascii="Palatino Linotype" w:hAnsi="Palatino Linotype"/>
            </w:rPr>
            <w:fldChar w:fldCharType="separate"/>
          </w:r>
          <w:hyperlink w:anchor="_Toc193463735" w:history="1">
            <w:r w:rsidR="00D24032" w:rsidRPr="00D24032">
              <w:rPr>
                <w:rStyle w:val="Collegamentoipertestuale"/>
                <w:rFonts w:ascii="Palatino Linotype" w:hAnsi="Palatino Linotype"/>
                <w:noProof/>
              </w:rPr>
              <w:t>1.</w:t>
            </w:r>
            <w:r w:rsidR="00D24032" w:rsidRPr="00D24032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D24032" w:rsidRPr="00D24032">
              <w:rPr>
                <w:rStyle w:val="Collegamentoipertestuale"/>
                <w:rFonts w:ascii="Palatino Linotype" w:hAnsi="Palatino Linotype"/>
                <w:noProof/>
              </w:rPr>
              <w:t>Scheda di sintesi dei dati identificativi</w:t>
            </w:r>
            <w:r w:rsidR="00D24032" w:rsidRPr="00D24032">
              <w:rPr>
                <w:noProof/>
                <w:webHidden/>
              </w:rPr>
              <w:tab/>
            </w:r>
            <w:r w:rsidR="00D24032" w:rsidRPr="00D24032">
              <w:rPr>
                <w:noProof/>
                <w:webHidden/>
              </w:rPr>
              <w:fldChar w:fldCharType="begin"/>
            </w:r>
            <w:r w:rsidR="00D24032" w:rsidRPr="00D24032">
              <w:rPr>
                <w:noProof/>
                <w:webHidden/>
              </w:rPr>
              <w:instrText xml:space="preserve"> PAGEREF _Toc193463735 \h </w:instrText>
            </w:r>
            <w:r w:rsidR="00D24032" w:rsidRPr="00D24032">
              <w:rPr>
                <w:noProof/>
                <w:webHidden/>
              </w:rPr>
            </w:r>
            <w:r w:rsidR="00D24032" w:rsidRPr="00D24032">
              <w:rPr>
                <w:noProof/>
                <w:webHidden/>
              </w:rPr>
              <w:fldChar w:fldCharType="separate"/>
            </w:r>
            <w:r w:rsidR="00D24032" w:rsidRPr="00D24032">
              <w:rPr>
                <w:noProof/>
                <w:webHidden/>
              </w:rPr>
              <w:t>3</w:t>
            </w:r>
            <w:r w:rsidR="00D24032" w:rsidRPr="00D24032">
              <w:rPr>
                <w:noProof/>
                <w:webHidden/>
              </w:rPr>
              <w:fldChar w:fldCharType="end"/>
            </w:r>
          </w:hyperlink>
        </w:p>
        <w:p w14:paraId="31D86508" w14:textId="13526EC1" w:rsidR="00D24032" w:rsidRPr="00D24032" w:rsidRDefault="00D24032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3736" w:history="1">
            <w:r w:rsidRPr="00D24032">
              <w:rPr>
                <w:rStyle w:val="Collegamentoipertestuale"/>
                <w:rFonts w:ascii="Palatino Linotype" w:hAnsi="Palatino Linotype"/>
                <w:noProof/>
              </w:rPr>
              <w:t>2.</w:t>
            </w:r>
            <w:r w:rsidRPr="00D24032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24032">
              <w:rPr>
                <w:rStyle w:val="Collegamentoipertestuale"/>
                <w:rFonts w:ascii="Palatino Linotype" w:hAnsi="Palatino Linotype"/>
                <w:noProof/>
              </w:rPr>
              <w:t>Executive Summary</w:t>
            </w:r>
            <w:r w:rsidRPr="00D24032">
              <w:rPr>
                <w:noProof/>
                <w:webHidden/>
              </w:rPr>
              <w:tab/>
            </w:r>
            <w:r w:rsidRPr="00D24032">
              <w:rPr>
                <w:noProof/>
                <w:webHidden/>
              </w:rPr>
              <w:fldChar w:fldCharType="begin"/>
            </w:r>
            <w:r w:rsidRPr="00D24032">
              <w:rPr>
                <w:noProof/>
                <w:webHidden/>
              </w:rPr>
              <w:instrText xml:space="preserve"> PAGEREF _Toc193463736 \h </w:instrText>
            </w:r>
            <w:r w:rsidRPr="00D24032">
              <w:rPr>
                <w:noProof/>
                <w:webHidden/>
              </w:rPr>
            </w:r>
            <w:r w:rsidRPr="00D24032">
              <w:rPr>
                <w:noProof/>
                <w:webHidden/>
              </w:rPr>
              <w:fldChar w:fldCharType="separate"/>
            </w:r>
            <w:r w:rsidRPr="00D24032">
              <w:rPr>
                <w:noProof/>
                <w:webHidden/>
              </w:rPr>
              <w:t>4</w:t>
            </w:r>
            <w:r w:rsidRPr="00D24032">
              <w:rPr>
                <w:noProof/>
                <w:webHidden/>
              </w:rPr>
              <w:fldChar w:fldCharType="end"/>
            </w:r>
          </w:hyperlink>
        </w:p>
        <w:p w14:paraId="55A8C3AA" w14:textId="60E7D179" w:rsidR="00D24032" w:rsidRPr="00D24032" w:rsidRDefault="00D24032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3737" w:history="1">
            <w:r w:rsidRPr="00D24032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2.1</w:t>
            </w:r>
            <w:r w:rsidRPr="00D24032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24032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Descrizione Sommaria dell’iniziativa contrattuale</w:t>
            </w:r>
            <w:r w:rsidRPr="00D24032">
              <w:rPr>
                <w:noProof/>
                <w:webHidden/>
              </w:rPr>
              <w:tab/>
            </w:r>
            <w:r w:rsidRPr="00D24032">
              <w:rPr>
                <w:noProof/>
                <w:webHidden/>
              </w:rPr>
              <w:fldChar w:fldCharType="begin"/>
            </w:r>
            <w:r w:rsidRPr="00D24032">
              <w:rPr>
                <w:noProof/>
                <w:webHidden/>
              </w:rPr>
              <w:instrText xml:space="preserve"> PAGEREF _Toc193463737 \h </w:instrText>
            </w:r>
            <w:r w:rsidRPr="00D24032">
              <w:rPr>
                <w:noProof/>
                <w:webHidden/>
              </w:rPr>
            </w:r>
            <w:r w:rsidRPr="00D24032">
              <w:rPr>
                <w:noProof/>
                <w:webHidden/>
              </w:rPr>
              <w:fldChar w:fldCharType="separate"/>
            </w:r>
            <w:r w:rsidRPr="00D24032">
              <w:rPr>
                <w:noProof/>
                <w:webHidden/>
              </w:rPr>
              <w:t>4</w:t>
            </w:r>
            <w:r w:rsidRPr="00D24032">
              <w:rPr>
                <w:noProof/>
                <w:webHidden/>
              </w:rPr>
              <w:fldChar w:fldCharType="end"/>
            </w:r>
          </w:hyperlink>
        </w:p>
        <w:p w14:paraId="46672FD7" w14:textId="6399F229" w:rsidR="00D24032" w:rsidRPr="00D24032" w:rsidRDefault="00D24032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3738" w:history="1">
            <w:r w:rsidRPr="00D24032">
              <w:rPr>
                <w:rStyle w:val="Collegamentoipertestuale"/>
                <w:rFonts w:ascii="Palatino Linotype" w:hAnsi="Palatino Linotype"/>
                <w:noProof/>
              </w:rPr>
              <w:t>3.</w:t>
            </w:r>
            <w:r w:rsidRPr="00D24032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24032">
              <w:rPr>
                <w:rStyle w:val="Collegamentoipertestuale"/>
                <w:rFonts w:ascii="Palatino Linotype" w:hAnsi="Palatino Linotype"/>
                <w:noProof/>
              </w:rPr>
              <w:t>Obiettivi contrattuali</w:t>
            </w:r>
            <w:r w:rsidRPr="00D24032">
              <w:rPr>
                <w:noProof/>
                <w:webHidden/>
              </w:rPr>
              <w:tab/>
            </w:r>
            <w:r w:rsidRPr="00D24032">
              <w:rPr>
                <w:noProof/>
                <w:webHidden/>
              </w:rPr>
              <w:fldChar w:fldCharType="begin"/>
            </w:r>
            <w:r w:rsidRPr="00D24032">
              <w:rPr>
                <w:noProof/>
                <w:webHidden/>
              </w:rPr>
              <w:instrText xml:space="preserve"> PAGEREF _Toc193463738 \h </w:instrText>
            </w:r>
            <w:r w:rsidRPr="00D24032">
              <w:rPr>
                <w:noProof/>
                <w:webHidden/>
              </w:rPr>
            </w:r>
            <w:r w:rsidRPr="00D24032">
              <w:rPr>
                <w:noProof/>
                <w:webHidden/>
              </w:rPr>
              <w:fldChar w:fldCharType="separate"/>
            </w:r>
            <w:r w:rsidRPr="00D24032">
              <w:rPr>
                <w:noProof/>
                <w:webHidden/>
              </w:rPr>
              <w:t>5</w:t>
            </w:r>
            <w:r w:rsidRPr="00D24032">
              <w:rPr>
                <w:noProof/>
                <w:webHidden/>
              </w:rPr>
              <w:fldChar w:fldCharType="end"/>
            </w:r>
          </w:hyperlink>
        </w:p>
        <w:p w14:paraId="7FA33833" w14:textId="145C34FF" w:rsidR="00D24032" w:rsidRPr="00D24032" w:rsidRDefault="00D24032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3739" w:history="1">
            <w:r w:rsidRPr="00D24032">
              <w:rPr>
                <w:rStyle w:val="Collegamentoipertestuale"/>
                <w:rFonts w:ascii="Palatino Linotype" w:hAnsi="Palatino Linotype"/>
                <w:noProof/>
              </w:rPr>
              <w:t>4.</w:t>
            </w:r>
            <w:r w:rsidRPr="00D24032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24032">
              <w:rPr>
                <w:rStyle w:val="Collegamentoipertestuale"/>
                <w:rFonts w:ascii="Palatino Linotype" w:hAnsi="Palatino Linotype"/>
                <w:noProof/>
              </w:rPr>
              <w:t>Esecuzione del contratto</w:t>
            </w:r>
            <w:r w:rsidRPr="00D24032">
              <w:rPr>
                <w:noProof/>
                <w:webHidden/>
              </w:rPr>
              <w:tab/>
            </w:r>
            <w:r w:rsidRPr="00D24032">
              <w:rPr>
                <w:noProof/>
                <w:webHidden/>
              </w:rPr>
              <w:fldChar w:fldCharType="begin"/>
            </w:r>
            <w:r w:rsidRPr="00D24032">
              <w:rPr>
                <w:noProof/>
                <w:webHidden/>
              </w:rPr>
              <w:instrText xml:space="preserve"> PAGEREF _Toc193463739 \h </w:instrText>
            </w:r>
            <w:r w:rsidRPr="00D24032">
              <w:rPr>
                <w:noProof/>
                <w:webHidden/>
              </w:rPr>
            </w:r>
            <w:r w:rsidRPr="00D24032">
              <w:rPr>
                <w:noProof/>
                <w:webHidden/>
              </w:rPr>
              <w:fldChar w:fldCharType="separate"/>
            </w:r>
            <w:r w:rsidRPr="00D24032">
              <w:rPr>
                <w:noProof/>
                <w:webHidden/>
              </w:rPr>
              <w:t>8</w:t>
            </w:r>
            <w:r w:rsidRPr="00D24032">
              <w:rPr>
                <w:noProof/>
                <w:webHidden/>
              </w:rPr>
              <w:fldChar w:fldCharType="end"/>
            </w:r>
          </w:hyperlink>
        </w:p>
        <w:p w14:paraId="33AFE85A" w14:textId="3C7FC01B" w:rsidR="00D24032" w:rsidRPr="00D24032" w:rsidRDefault="00D24032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3740" w:history="1">
            <w:r w:rsidRPr="00D24032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4.1</w:t>
            </w:r>
            <w:r w:rsidRPr="00D24032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24032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Stato di avanzamento - SAL e SAC</w:t>
            </w:r>
            <w:r w:rsidRPr="00D24032">
              <w:rPr>
                <w:noProof/>
                <w:webHidden/>
              </w:rPr>
              <w:tab/>
            </w:r>
            <w:r w:rsidRPr="00D24032">
              <w:rPr>
                <w:noProof/>
                <w:webHidden/>
              </w:rPr>
              <w:fldChar w:fldCharType="begin"/>
            </w:r>
            <w:r w:rsidRPr="00D24032">
              <w:rPr>
                <w:noProof/>
                <w:webHidden/>
              </w:rPr>
              <w:instrText xml:space="preserve"> PAGEREF _Toc193463740 \h </w:instrText>
            </w:r>
            <w:r w:rsidRPr="00D24032">
              <w:rPr>
                <w:noProof/>
                <w:webHidden/>
              </w:rPr>
            </w:r>
            <w:r w:rsidRPr="00D24032">
              <w:rPr>
                <w:noProof/>
                <w:webHidden/>
              </w:rPr>
              <w:fldChar w:fldCharType="separate"/>
            </w:r>
            <w:r w:rsidRPr="00D24032">
              <w:rPr>
                <w:noProof/>
                <w:webHidden/>
              </w:rPr>
              <w:t>8</w:t>
            </w:r>
            <w:r w:rsidRPr="00D24032">
              <w:rPr>
                <w:noProof/>
                <w:webHidden/>
              </w:rPr>
              <w:fldChar w:fldCharType="end"/>
            </w:r>
          </w:hyperlink>
        </w:p>
        <w:p w14:paraId="7E7186DA" w14:textId="27A5486F" w:rsidR="00D24032" w:rsidRPr="00D24032" w:rsidRDefault="00D24032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3741" w:history="1">
            <w:r w:rsidRPr="00D24032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4.2</w:t>
            </w:r>
            <w:r w:rsidRPr="00D24032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24032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Indicatori di monitoraggio e livelli di servizio</w:t>
            </w:r>
            <w:r w:rsidRPr="00D24032">
              <w:rPr>
                <w:noProof/>
                <w:webHidden/>
              </w:rPr>
              <w:tab/>
            </w:r>
            <w:r w:rsidRPr="00D24032">
              <w:rPr>
                <w:noProof/>
                <w:webHidden/>
              </w:rPr>
              <w:fldChar w:fldCharType="begin"/>
            </w:r>
            <w:r w:rsidRPr="00D24032">
              <w:rPr>
                <w:noProof/>
                <w:webHidden/>
              </w:rPr>
              <w:instrText xml:space="preserve"> PAGEREF _Toc193463741 \h </w:instrText>
            </w:r>
            <w:r w:rsidRPr="00D24032">
              <w:rPr>
                <w:noProof/>
                <w:webHidden/>
              </w:rPr>
            </w:r>
            <w:r w:rsidRPr="00D24032">
              <w:rPr>
                <w:noProof/>
                <w:webHidden/>
              </w:rPr>
              <w:fldChar w:fldCharType="separate"/>
            </w:r>
            <w:r w:rsidRPr="00D24032">
              <w:rPr>
                <w:noProof/>
                <w:webHidden/>
              </w:rPr>
              <w:t>8</w:t>
            </w:r>
            <w:r w:rsidRPr="00D24032">
              <w:rPr>
                <w:noProof/>
                <w:webHidden/>
              </w:rPr>
              <w:fldChar w:fldCharType="end"/>
            </w:r>
          </w:hyperlink>
        </w:p>
        <w:p w14:paraId="644F684E" w14:textId="284925E6" w:rsidR="00D24032" w:rsidRPr="00D24032" w:rsidRDefault="00D24032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3742" w:history="1">
            <w:r w:rsidRPr="00D24032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4.3</w:t>
            </w:r>
            <w:r w:rsidRPr="00D24032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24032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Eventuali innovazioni tecnologiche</w:t>
            </w:r>
            <w:r w:rsidRPr="00D24032">
              <w:rPr>
                <w:noProof/>
                <w:webHidden/>
              </w:rPr>
              <w:tab/>
            </w:r>
            <w:r w:rsidRPr="00D24032">
              <w:rPr>
                <w:noProof/>
                <w:webHidden/>
              </w:rPr>
              <w:fldChar w:fldCharType="begin"/>
            </w:r>
            <w:r w:rsidRPr="00D24032">
              <w:rPr>
                <w:noProof/>
                <w:webHidden/>
              </w:rPr>
              <w:instrText xml:space="preserve"> PAGEREF _Toc193463742 \h </w:instrText>
            </w:r>
            <w:r w:rsidRPr="00D24032">
              <w:rPr>
                <w:noProof/>
                <w:webHidden/>
              </w:rPr>
            </w:r>
            <w:r w:rsidRPr="00D24032">
              <w:rPr>
                <w:noProof/>
                <w:webHidden/>
              </w:rPr>
              <w:fldChar w:fldCharType="separate"/>
            </w:r>
            <w:r w:rsidRPr="00D24032">
              <w:rPr>
                <w:noProof/>
                <w:webHidden/>
              </w:rPr>
              <w:t>9</w:t>
            </w:r>
            <w:r w:rsidRPr="00D24032">
              <w:rPr>
                <w:noProof/>
                <w:webHidden/>
              </w:rPr>
              <w:fldChar w:fldCharType="end"/>
            </w:r>
          </w:hyperlink>
        </w:p>
        <w:p w14:paraId="55617624" w14:textId="483F1C59" w:rsidR="00D24032" w:rsidRPr="00D24032" w:rsidRDefault="00D24032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3743" w:history="1">
            <w:r w:rsidRPr="00D24032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4.4</w:t>
            </w:r>
            <w:r w:rsidRPr="00D24032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24032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Aspetti della eventuale non conformità</w:t>
            </w:r>
            <w:r w:rsidRPr="00D24032">
              <w:rPr>
                <w:noProof/>
                <w:webHidden/>
              </w:rPr>
              <w:tab/>
            </w:r>
            <w:r w:rsidRPr="00D24032">
              <w:rPr>
                <w:noProof/>
                <w:webHidden/>
              </w:rPr>
              <w:fldChar w:fldCharType="begin"/>
            </w:r>
            <w:r w:rsidRPr="00D24032">
              <w:rPr>
                <w:noProof/>
                <w:webHidden/>
              </w:rPr>
              <w:instrText xml:space="preserve"> PAGEREF _Toc193463743 \h </w:instrText>
            </w:r>
            <w:r w:rsidRPr="00D24032">
              <w:rPr>
                <w:noProof/>
                <w:webHidden/>
              </w:rPr>
            </w:r>
            <w:r w:rsidRPr="00D24032">
              <w:rPr>
                <w:noProof/>
                <w:webHidden/>
              </w:rPr>
              <w:fldChar w:fldCharType="separate"/>
            </w:r>
            <w:r w:rsidRPr="00D24032">
              <w:rPr>
                <w:noProof/>
                <w:webHidden/>
              </w:rPr>
              <w:t>9</w:t>
            </w:r>
            <w:r w:rsidRPr="00D24032">
              <w:rPr>
                <w:noProof/>
                <w:webHidden/>
              </w:rPr>
              <w:fldChar w:fldCharType="end"/>
            </w:r>
          </w:hyperlink>
        </w:p>
        <w:p w14:paraId="16FE1BF2" w14:textId="2DFA3C52" w:rsidR="00D24032" w:rsidRPr="00D24032" w:rsidRDefault="00D24032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3744" w:history="1">
            <w:r w:rsidRPr="00D24032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4.5</w:t>
            </w:r>
            <w:r w:rsidRPr="00D24032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24032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Indicazioni per la Governance</w:t>
            </w:r>
            <w:r w:rsidRPr="00D24032">
              <w:rPr>
                <w:noProof/>
                <w:webHidden/>
              </w:rPr>
              <w:tab/>
            </w:r>
            <w:r w:rsidRPr="00D24032">
              <w:rPr>
                <w:noProof/>
                <w:webHidden/>
              </w:rPr>
              <w:fldChar w:fldCharType="begin"/>
            </w:r>
            <w:r w:rsidRPr="00D24032">
              <w:rPr>
                <w:noProof/>
                <w:webHidden/>
              </w:rPr>
              <w:instrText xml:space="preserve"> PAGEREF _Toc193463744 \h </w:instrText>
            </w:r>
            <w:r w:rsidRPr="00D24032">
              <w:rPr>
                <w:noProof/>
                <w:webHidden/>
              </w:rPr>
            </w:r>
            <w:r w:rsidRPr="00D24032">
              <w:rPr>
                <w:noProof/>
                <w:webHidden/>
              </w:rPr>
              <w:fldChar w:fldCharType="separate"/>
            </w:r>
            <w:r w:rsidRPr="00D24032">
              <w:rPr>
                <w:noProof/>
                <w:webHidden/>
              </w:rPr>
              <w:t>9</w:t>
            </w:r>
            <w:r w:rsidRPr="00D24032">
              <w:rPr>
                <w:noProof/>
                <w:webHidden/>
              </w:rPr>
              <w:fldChar w:fldCharType="end"/>
            </w:r>
          </w:hyperlink>
        </w:p>
        <w:p w14:paraId="6C901D71" w14:textId="2D82D6BA" w:rsidR="00E56FED" w:rsidRPr="00D24032" w:rsidRDefault="00E56FED" w:rsidP="64D1B613">
          <w:pPr>
            <w:pStyle w:val="Sommario3"/>
            <w:tabs>
              <w:tab w:val="left" w:pos="870"/>
              <w:tab w:val="right" w:leader="dot" w:pos="9345"/>
            </w:tabs>
            <w:rPr>
              <w:rStyle w:val="Collegamentoipertestuale"/>
              <w:rFonts w:ascii="Palatino Linotype" w:hAnsi="Palatino Linotype"/>
              <w:noProof/>
              <w:kern w:val="2"/>
              <w14:ligatures w14:val="standardContextual"/>
            </w:rPr>
          </w:pPr>
          <w:r w:rsidRPr="00D24032">
            <w:rPr>
              <w:rFonts w:ascii="Palatino Linotype" w:hAnsi="Palatino Linotype"/>
            </w:rPr>
            <w:fldChar w:fldCharType="end"/>
          </w:r>
        </w:p>
      </w:sdtContent>
    </w:sdt>
    <w:p w14:paraId="5448C721" w14:textId="6FC67780" w:rsidR="00DE4EB7" w:rsidRPr="00D24032" w:rsidRDefault="00DE4EB7" w:rsidP="64D1B613">
      <w:pPr>
        <w:rPr>
          <w:rFonts w:ascii="Palatino Linotype" w:hAnsi="Palatino Linotype" w:cstheme="minorBidi"/>
          <w:b/>
          <w:bCs/>
          <w:noProof/>
        </w:rPr>
      </w:pPr>
    </w:p>
    <w:p w14:paraId="070C1808" w14:textId="77777777" w:rsidR="00DE4EB7" w:rsidRPr="00D24032" w:rsidRDefault="00DE4EB7" w:rsidP="00DE4EB7">
      <w:pPr>
        <w:rPr>
          <w:rFonts w:ascii="Palatino Linotype" w:hAnsi="Palatino Linotype"/>
        </w:rPr>
      </w:pPr>
    </w:p>
    <w:p w14:paraId="7602929E" w14:textId="77777777" w:rsidR="00DE4EB7" w:rsidRPr="00D24032" w:rsidRDefault="00DE4EB7" w:rsidP="00DE4EB7">
      <w:pPr>
        <w:rPr>
          <w:rFonts w:ascii="Palatino Linotype" w:hAnsi="Palatino Linotype"/>
        </w:rPr>
      </w:pPr>
    </w:p>
    <w:p w14:paraId="5BBF9B94" w14:textId="77777777" w:rsidR="00DE4EB7" w:rsidRPr="00D24032" w:rsidRDefault="00DE4EB7" w:rsidP="00DE4EB7">
      <w:pPr>
        <w:rPr>
          <w:rFonts w:ascii="Palatino Linotype" w:hAnsi="Palatino Linotype"/>
        </w:rPr>
      </w:pPr>
    </w:p>
    <w:p w14:paraId="791FFC8D" w14:textId="2CC62D16" w:rsidR="0000165D" w:rsidRPr="00D24032" w:rsidRDefault="0000165D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  <w:r w:rsidRPr="00D24032">
        <w:rPr>
          <w:rFonts w:ascii="Palatino Linotype" w:hAnsi="Palatino Linotype" w:cstheme="minorHAnsi"/>
        </w:rPr>
        <w:br w:type="page"/>
      </w:r>
    </w:p>
    <w:p w14:paraId="12C6DDCE" w14:textId="02DC8A5F" w:rsidR="00AA5D6B" w:rsidRPr="00D24032" w:rsidRDefault="0000165D" w:rsidP="64D1B613">
      <w:pPr>
        <w:pStyle w:val="Titolo1"/>
        <w:numPr>
          <w:ilvl w:val="0"/>
          <w:numId w:val="1"/>
        </w:numPr>
        <w:ind w:left="432" w:hanging="432"/>
        <w:rPr>
          <w:rFonts w:ascii="Palatino Linotype" w:hAnsi="Palatino Linotype" w:cstheme="minorBidi"/>
        </w:rPr>
      </w:pPr>
      <w:bookmarkStart w:id="1" w:name="_Toc193463735"/>
      <w:r w:rsidRPr="00D24032">
        <w:rPr>
          <w:rFonts w:ascii="Palatino Linotype" w:hAnsi="Palatino Linotype" w:cstheme="minorBidi"/>
        </w:rPr>
        <w:lastRenderedPageBreak/>
        <w:t>Scheda di sintesi d</w:t>
      </w:r>
      <w:r w:rsidR="00B51B57" w:rsidRPr="00D24032">
        <w:rPr>
          <w:rFonts w:ascii="Palatino Linotype" w:hAnsi="Palatino Linotype" w:cstheme="minorBidi"/>
        </w:rPr>
        <w:t>ei dati identificativi</w:t>
      </w:r>
      <w:bookmarkEnd w:id="1"/>
      <w:r w:rsidRPr="00D24032">
        <w:rPr>
          <w:rFonts w:ascii="Palatino Linotype" w:hAnsi="Palatino Linotype"/>
        </w:rPr>
        <w:br/>
      </w:r>
    </w:p>
    <w:tbl>
      <w:tblPr>
        <w:tblStyle w:val="TableNormal1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3961"/>
        <w:gridCol w:w="5145"/>
      </w:tblGrid>
      <w:tr w:rsidR="00B51B57" w:rsidRPr="00D24032" w14:paraId="6E5B7CA5" w14:textId="77777777" w:rsidTr="64D1B61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27C126F" w14:textId="77777777" w:rsidR="00B51B57" w:rsidRPr="00D24032" w:rsidRDefault="00B51B57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Denominazione dell’Amministrazione</w:t>
            </w:r>
          </w:p>
        </w:tc>
        <w:tc>
          <w:tcPr>
            <w:tcW w:w="5145" w:type="dxa"/>
            <w:vAlign w:val="center"/>
          </w:tcPr>
          <w:p w14:paraId="0CDBFBE7" w14:textId="7F6F983E" w:rsidR="00B51B57" w:rsidRPr="00D24032" w:rsidRDefault="00B51B57" w:rsidP="00E74DD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Ministero della Giustizia – </w:t>
            </w:r>
            <w:r w:rsidR="032571B6"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Dipartimento per l’innovazione tecnologica della giustizia</w:t>
            </w:r>
          </w:p>
        </w:tc>
      </w:tr>
      <w:tr w:rsidR="00E731FF" w:rsidRPr="00D24032" w14:paraId="4502D465" w14:textId="77777777" w:rsidTr="64D1B613">
        <w:trPr>
          <w:trHeight w:val="502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5E3E7D7" w14:textId="77777777" w:rsidR="00E731FF" w:rsidRPr="00D24032" w:rsidRDefault="00E731FF" w:rsidP="00E731FF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Denominazione del contratto</w:t>
            </w:r>
          </w:p>
        </w:tc>
        <w:tc>
          <w:tcPr>
            <w:tcW w:w="5145" w:type="dxa"/>
          </w:tcPr>
          <w:p w14:paraId="04978CD7" w14:textId="1A32B3B8" w:rsidR="00E731FF" w:rsidRPr="00D24032" w:rsidRDefault="00E731FF" w:rsidP="00E731F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Fornitura di licenze e servizi Oracle</w:t>
            </w:r>
          </w:p>
        </w:tc>
      </w:tr>
      <w:tr w:rsidR="00E731FF" w:rsidRPr="00D24032" w14:paraId="38760E71" w14:textId="77777777" w:rsidTr="64D1B61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0C8FFD2B" w14:textId="06E1C4B9" w:rsidR="00E731FF" w:rsidRPr="00D24032" w:rsidRDefault="00E731FF" w:rsidP="00E731FF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CIG - Codice Identificativo di Gara</w:t>
            </w:r>
          </w:p>
        </w:tc>
        <w:tc>
          <w:tcPr>
            <w:tcW w:w="5145" w:type="dxa"/>
            <w:vAlign w:val="center"/>
          </w:tcPr>
          <w:p w14:paraId="0AF01C30" w14:textId="4306C769" w:rsidR="00E731FF" w:rsidRPr="00D24032" w:rsidRDefault="00D60FBC" w:rsidP="00E731F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A02A0C50B1</w:t>
            </w:r>
          </w:p>
        </w:tc>
      </w:tr>
      <w:tr w:rsidR="00E731FF" w:rsidRPr="00D24032" w14:paraId="6A8E9D7F" w14:textId="77777777" w:rsidTr="64D1B61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00A25030" w14:textId="6F5ACB60" w:rsidR="00E731FF" w:rsidRPr="00D24032" w:rsidRDefault="00E731FF" w:rsidP="00E731FF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Codice e oggetto e data del parere di riferimento AGID (se presente)</w:t>
            </w:r>
          </w:p>
        </w:tc>
        <w:tc>
          <w:tcPr>
            <w:tcW w:w="5145" w:type="dxa"/>
            <w:vAlign w:val="center"/>
          </w:tcPr>
          <w:p w14:paraId="6DEAFA3B" w14:textId="65225365" w:rsidR="00E731FF" w:rsidRPr="00D24032" w:rsidRDefault="00E731FF" w:rsidP="00E731F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E731FF" w:rsidRPr="00D24032" w14:paraId="27FE6AB9" w14:textId="77777777" w:rsidTr="64D1B61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9E6B3F7" w14:textId="26982C48" w:rsidR="00E731FF" w:rsidRPr="00D24032" w:rsidRDefault="00E731FF" w:rsidP="00E731FF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Importo netto (previsto originariamente ed eventuali variazioni successive)</w:t>
            </w:r>
          </w:p>
        </w:tc>
        <w:tc>
          <w:tcPr>
            <w:tcW w:w="5145" w:type="dxa"/>
            <w:vAlign w:val="center"/>
          </w:tcPr>
          <w:p w14:paraId="1292E240" w14:textId="462E2A3B" w:rsidR="00E731FF" w:rsidRPr="00D24032" w:rsidRDefault="004445C1" w:rsidP="00E731F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color w:val="000000"/>
                <w:sz w:val="24"/>
                <w:szCs w:val="24"/>
                <w:lang w:val="it-IT"/>
              </w:rPr>
              <w:t>8.254.027,06 € (Iva Esclusa)</w:t>
            </w:r>
          </w:p>
        </w:tc>
      </w:tr>
      <w:tr w:rsidR="00E731FF" w:rsidRPr="00D24032" w14:paraId="3438323E" w14:textId="77777777" w:rsidTr="64D1B61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30EDBF99" w14:textId="6AE6F9DD" w:rsidR="00E731FF" w:rsidRPr="00D24032" w:rsidRDefault="00E731FF" w:rsidP="00E731FF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Importo lordo (previsto originariamente ed eventuali variazioni successive)</w:t>
            </w:r>
          </w:p>
        </w:tc>
        <w:tc>
          <w:tcPr>
            <w:tcW w:w="5145" w:type="dxa"/>
            <w:vAlign w:val="center"/>
          </w:tcPr>
          <w:p w14:paraId="2BDC0F00" w14:textId="1FB59F8C" w:rsidR="00E731FF" w:rsidRPr="00D24032" w:rsidRDefault="00202F08" w:rsidP="00E731FF">
            <w:pPr>
              <w:widowControl/>
              <w:autoSpaceDE/>
              <w:autoSpaceDN/>
              <w:rPr>
                <w:rFonts w:ascii="Palatino Linotype" w:hAnsi="Palatino Linotype" w:cs="Calibri"/>
                <w:color w:val="000000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10.069.913,02 € (IVA inclusa)</w:t>
            </w:r>
          </w:p>
        </w:tc>
      </w:tr>
      <w:tr w:rsidR="00E731FF" w:rsidRPr="00D24032" w14:paraId="241CFDBD" w14:textId="77777777" w:rsidTr="64D1B61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21EA1EC" w14:textId="2E74140A" w:rsidR="00E731FF" w:rsidRPr="00D24032" w:rsidRDefault="00E731FF" w:rsidP="00E731FF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Denominazione del Fornitore</w:t>
            </w:r>
          </w:p>
        </w:tc>
        <w:tc>
          <w:tcPr>
            <w:tcW w:w="5145" w:type="dxa"/>
            <w:vAlign w:val="center"/>
          </w:tcPr>
          <w:p w14:paraId="0C368F1D" w14:textId="5B210B48" w:rsidR="00E731FF" w:rsidRPr="00D24032" w:rsidRDefault="00C62BFB" w:rsidP="00E731F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Telecom Italia </w:t>
            </w:r>
            <w:r w:rsidR="0056437D"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S</w:t>
            </w: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.p.</w:t>
            </w:r>
            <w:r w:rsidR="0056437D"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A</w:t>
            </w: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.; Eurolink </w:t>
            </w:r>
            <w:proofErr w:type="spellStart"/>
            <w:r w:rsidR="000A642F"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S.r</w:t>
            </w:r>
            <w:proofErr w:type="spellEnd"/>
            <w:r w:rsidR="000A642F" w:rsidRPr="00D24032">
              <w:rPr>
                <w:rFonts w:ascii="Palatino Linotype" w:hAnsi="Palatino Linotype"/>
                <w:sz w:val="24"/>
                <w:szCs w:val="24"/>
              </w:rPr>
              <w:t>.l.</w:t>
            </w:r>
          </w:p>
        </w:tc>
      </w:tr>
      <w:tr w:rsidR="00E731FF" w:rsidRPr="00D24032" w14:paraId="2839420A" w14:textId="77777777" w:rsidTr="64D1B61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15509D5C" w14:textId="77777777" w:rsidR="00E731FF" w:rsidRPr="00D24032" w:rsidRDefault="00E731FF" w:rsidP="00E731FF">
            <w:pPr>
              <w:pStyle w:val="TableParagraph"/>
              <w:spacing w:line="251" w:lineRule="exact"/>
              <w:ind w:right="90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Eventuali altri contratti collegati (quinto</w:t>
            </w:r>
          </w:p>
          <w:p w14:paraId="354453CE" w14:textId="50B1999A" w:rsidR="00E731FF" w:rsidRPr="00D24032" w:rsidRDefault="00E731FF" w:rsidP="00E731FF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d’obbligo, atti aggiuntivi)</w:t>
            </w:r>
          </w:p>
        </w:tc>
        <w:tc>
          <w:tcPr>
            <w:tcW w:w="5145" w:type="dxa"/>
            <w:vAlign w:val="center"/>
          </w:tcPr>
          <w:p w14:paraId="194FDF61" w14:textId="0BD14CDE" w:rsidR="00E731FF" w:rsidRPr="00D24032" w:rsidRDefault="00E731FF" w:rsidP="00E731F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AA24A7" w:rsidRPr="00D24032" w14:paraId="2EEA6F86" w14:textId="77777777" w:rsidTr="64D1B61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7D1F6B97" w14:textId="77777777" w:rsidR="00AA24A7" w:rsidRPr="00D24032" w:rsidRDefault="00AA24A7" w:rsidP="00AA24A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RUP – Responsabile Unico del</w:t>
            </w:r>
          </w:p>
          <w:p w14:paraId="57252876" w14:textId="396F6F33" w:rsidR="00AA24A7" w:rsidRPr="00D24032" w:rsidRDefault="00AA24A7" w:rsidP="00AA24A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Procedimento</w:t>
            </w:r>
          </w:p>
        </w:tc>
        <w:tc>
          <w:tcPr>
            <w:tcW w:w="5145" w:type="dxa"/>
            <w:vAlign w:val="center"/>
          </w:tcPr>
          <w:p w14:paraId="478E088A" w14:textId="1447081D" w:rsidR="00AA24A7" w:rsidRPr="00D24032" w:rsidRDefault="00AA24A7" w:rsidP="00AA24A7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Alessandro Parisi</w:t>
            </w:r>
          </w:p>
        </w:tc>
      </w:tr>
      <w:tr w:rsidR="00AA24A7" w:rsidRPr="00D24032" w14:paraId="06BF52FB" w14:textId="77777777" w:rsidTr="64D1B61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AAD1252" w14:textId="2A3ED9FF" w:rsidR="00AA24A7" w:rsidRPr="00D24032" w:rsidRDefault="00AA24A7" w:rsidP="00AA24A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DEC – Direttore dell’Esecuzione</w:t>
            </w:r>
          </w:p>
        </w:tc>
        <w:tc>
          <w:tcPr>
            <w:tcW w:w="5145" w:type="dxa"/>
            <w:vAlign w:val="center"/>
          </w:tcPr>
          <w:p w14:paraId="6CA4BBA3" w14:textId="040EFD9B" w:rsidR="00AA24A7" w:rsidRPr="00D24032" w:rsidRDefault="00AA24A7" w:rsidP="00AA24A7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Gianluca </w:t>
            </w:r>
            <w:proofErr w:type="spellStart"/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Perreca</w:t>
            </w:r>
            <w:proofErr w:type="spellEnd"/>
          </w:p>
        </w:tc>
      </w:tr>
      <w:tr w:rsidR="00E731FF" w:rsidRPr="00D24032" w14:paraId="0EBE05E0" w14:textId="77777777" w:rsidTr="64D1B61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3BCDEC7" w14:textId="2465A961" w:rsidR="00E731FF" w:rsidRPr="00D24032" w:rsidRDefault="00E731FF" w:rsidP="00E731FF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Numero progressivo del rapporto</w:t>
            </w:r>
          </w:p>
        </w:tc>
        <w:tc>
          <w:tcPr>
            <w:tcW w:w="5145" w:type="dxa"/>
            <w:vAlign w:val="center"/>
          </w:tcPr>
          <w:p w14:paraId="3FBB47CB" w14:textId="0DAE54FE" w:rsidR="00E731FF" w:rsidRPr="00D24032" w:rsidRDefault="00E731FF" w:rsidP="00E731F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E731FF" w:rsidRPr="00D24032" w14:paraId="0256F833" w14:textId="77777777" w:rsidTr="64D1B61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78D9F188" w14:textId="386BF111" w:rsidR="00E731FF" w:rsidRPr="00D24032" w:rsidRDefault="00E731FF" w:rsidP="00E731FF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Numero progressivo della versione con evidenza delle variazioni intervenute (eventuale, in caso di </w:t>
            </w:r>
            <w:proofErr w:type="spellStart"/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riemissione</w:t>
            </w:r>
            <w:proofErr w:type="spellEnd"/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)</w:t>
            </w:r>
          </w:p>
        </w:tc>
        <w:tc>
          <w:tcPr>
            <w:tcW w:w="5145" w:type="dxa"/>
            <w:vAlign w:val="center"/>
          </w:tcPr>
          <w:p w14:paraId="5C13E577" w14:textId="28E63D27" w:rsidR="00E731FF" w:rsidRPr="00D24032" w:rsidRDefault="00E731FF" w:rsidP="00E731F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E731FF" w:rsidRPr="00D24032" w14:paraId="6A0D8383" w14:textId="77777777" w:rsidTr="64D1B61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5801F285" w14:textId="387FA439" w:rsidR="00E731FF" w:rsidRPr="00D24032" w:rsidRDefault="00E731FF" w:rsidP="00E731FF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Periodo di riferimento esaminato (dal … al …)</w:t>
            </w:r>
          </w:p>
        </w:tc>
        <w:tc>
          <w:tcPr>
            <w:tcW w:w="5145" w:type="dxa"/>
            <w:vAlign w:val="center"/>
          </w:tcPr>
          <w:p w14:paraId="5DC1ACC2" w14:textId="4F6FB8CD" w:rsidR="00E731FF" w:rsidRPr="00D24032" w:rsidRDefault="00DF6422" w:rsidP="00E731F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01</w:t>
            </w:r>
            <w:r w:rsidR="00817B1C"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/</w:t>
            </w:r>
            <w:r w:rsidR="004E389D">
              <w:rPr>
                <w:rFonts w:ascii="Palatino Linotype" w:hAnsi="Palatino Linotype"/>
                <w:sz w:val="24"/>
                <w:szCs w:val="24"/>
                <w:lang w:val="it-IT"/>
              </w:rPr>
              <w:t>04</w:t>
            </w:r>
            <w:r w:rsidR="00817B1C"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/202</w:t>
            </w:r>
            <w:r w:rsidR="004E389D">
              <w:rPr>
                <w:rFonts w:ascii="Palatino Linotype" w:hAnsi="Palatino Linotype"/>
                <w:sz w:val="24"/>
                <w:szCs w:val="24"/>
                <w:lang w:val="it-IT"/>
              </w:rPr>
              <w:t>5</w:t>
            </w:r>
            <w:r w:rsidR="00817B1C"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</w:t>
            </w:r>
            <w:r w:rsidR="009F21D4"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-</w:t>
            </w: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</w:t>
            </w:r>
            <w:r w:rsidR="009F21D4"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3</w:t>
            </w:r>
            <w:r w:rsidR="00A20549">
              <w:rPr>
                <w:rFonts w:ascii="Palatino Linotype" w:hAnsi="Palatino Linotype"/>
                <w:sz w:val="24"/>
                <w:szCs w:val="24"/>
                <w:lang w:val="it-IT"/>
              </w:rPr>
              <w:t>0</w:t>
            </w:r>
            <w:r w:rsidR="009F21D4"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/</w:t>
            </w:r>
            <w:r w:rsidR="003B4CAB"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0</w:t>
            </w:r>
            <w:r w:rsidR="00A20549">
              <w:rPr>
                <w:rFonts w:ascii="Palatino Linotype" w:hAnsi="Palatino Linotype"/>
                <w:sz w:val="24"/>
                <w:szCs w:val="24"/>
                <w:lang w:val="it-IT"/>
              </w:rPr>
              <w:t>9</w:t>
            </w:r>
            <w:r w:rsidR="00817B1C"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/202</w:t>
            </w:r>
            <w:r w:rsidR="005E7022"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5</w:t>
            </w:r>
          </w:p>
        </w:tc>
      </w:tr>
      <w:tr w:rsidR="00E731FF" w:rsidRPr="00D24032" w14:paraId="0FA611E2" w14:textId="77777777" w:rsidTr="64D1B61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3EB02CFA" w14:textId="0C7D9369" w:rsidR="00E731FF" w:rsidRPr="00D24032" w:rsidRDefault="00E731FF" w:rsidP="00E731FF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Il Responsabile del monitoraggio dell’Amministrazione</w:t>
            </w:r>
          </w:p>
        </w:tc>
        <w:tc>
          <w:tcPr>
            <w:tcW w:w="5145" w:type="dxa"/>
            <w:vAlign w:val="center"/>
          </w:tcPr>
          <w:p w14:paraId="07BA42EC" w14:textId="0533D6F4" w:rsidR="00E731FF" w:rsidRPr="00D24032" w:rsidRDefault="335DCE4C" w:rsidP="00E731F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Antonella Ciriello</w:t>
            </w:r>
          </w:p>
        </w:tc>
      </w:tr>
      <w:tr w:rsidR="002B14D0" w:rsidRPr="00D24032" w14:paraId="56D064E7" w14:textId="77777777" w:rsidTr="64D1B61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37AB8AD1" w14:textId="5F03D892" w:rsidR="002B14D0" w:rsidRPr="00D24032" w:rsidRDefault="002B14D0" w:rsidP="002B14D0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Referente di monitoraggio dell’Amministrazione (nome e cognome, recapito telefonico e di posta elettronica)</w:t>
            </w:r>
          </w:p>
        </w:tc>
        <w:tc>
          <w:tcPr>
            <w:tcW w:w="5145" w:type="dxa"/>
            <w:vAlign w:val="center"/>
          </w:tcPr>
          <w:p w14:paraId="4AF93E1B" w14:textId="14C1FC03" w:rsidR="002B14D0" w:rsidRPr="00D24032" w:rsidRDefault="003B4CAB" w:rsidP="002B14D0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Luigi Pagnotta</w:t>
            </w:r>
          </w:p>
        </w:tc>
      </w:tr>
      <w:tr w:rsidR="002B14D0" w:rsidRPr="00D24032" w14:paraId="58804106" w14:textId="77777777" w:rsidTr="64D1B61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2EADD4B" w14:textId="36B0F5BD" w:rsidR="002B14D0" w:rsidRPr="00D24032" w:rsidRDefault="002B14D0" w:rsidP="002B14D0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Data di emissione del rapporto</w:t>
            </w:r>
          </w:p>
        </w:tc>
        <w:tc>
          <w:tcPr>
            <w:tcW w:w="5145" w:type="dxa"/>
            <w:vAlign w:val="center"/>
          </w:tcPr>
          <w:p w14:paraId="47385E23" w14:textId="65A22517" w:rsidR="002B14D0" w:rsidRPr="00D24032" w:rsidRDefault="005B4D3B" w:rsidP="002B14D0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>
              <w:rPr>
                <w:rFonts w:ascii="Palatino Linotype" w:hAnsi="Palatino Linotype"/>
                <w:sz w:val="24"/>
                <w:szCs w:val="24"/>
                <w:lang w:val="it-IT"/>
              </w:rPr>
              <w:t>12</w:t>
            </w:r>
            <w:r w:rsidR="003B4CAB" w:rsidRPr="005B4D3B">
              <w:rPr>
                <w:rFonts w:ascii="Palatino Linotype" w:hAnsi="Palatino Linotype"/>
                <w:sz w:val="24"/>
                <w:szCs w:val="24"/>
                <w:lang w:val="it-IT"/>
              </w:rPr>
              <w:t>/0</w:t>
            </w:r>
            <w:r>
              <w:rPr>
                <w:rFonts w:ascii="Palatino Linotype" w:hAnsi="Palatino Linotype"/>
                <w:sz w:val="24"/>
                <w:szCs w:val="24"/>
                <w:lang w:val="it-IT"/>
              </w:rPr>
              <w:t>9</w:t>
            </w:r>
            <w:r w:rsidR="003B4CAB" w:rsidRPr="005B4D3B">
              <w:rPr>
                <w:rFonts w:ascii="Palatino Linotype" w:hAnsi="Palatino Linotype"/>
                <w:sz w:val="24"/>
                <w:szCs w:val="24"/>
                <w:lang w:val="it-IT"/>
              </w:rPr>
              <w:t>/202</w:t>
            </w:r>
            <w:r w:rsidR="00FB54C0" w:rsidRPr="005B4D3B">
              <w:rPr>
                <w:rFonts w:ascii="Palatino Linotype" w:hAnsi="Palatino Linotype"/>
                <w:sz w:val="24"/>
                <w:szCs w:val="24"/>
                <w:lang w:val="it-IT"/>
              </w:rPr>
              <w:t>5</w:t>
            </w:r>
          </w:p>
        </w:tc>
      </w:tr>
      <w:tr w:rsidR="002B14D0" w:rsidRPr="00D24032" w14:paraId="4BF10B84" w14:textId="77777777" w:rsidTr="64D1B61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850085F" w14:textId="38D6AC5A" w:rsidR="002B14D0" w:rsidRPr="00D24032" w:rsidRDefault="002B14D0" w:rsidP="002B14D0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lastRenderedPageBreak/>
              <w:t>Lista di distribuzione (organizzazione e nominativo)</w:t>
            </w:r>
          </w:p>
        </w:tc>
        <w:tc>
          <w:tcPr>
            <w:tcW w:w="5145" w:type="dxa"/>
            <w:vAlign w:val="center"/>
          </w:tcPr>
          <w:p w14:paraId="415DF0F0" w14:textId="42D6DF0D" w:rsidR="002B14D0" w:rsidRPr="00D24032" w:rsidRDefault="002B14D0" w:rsidP="002B14D0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2B14D0" w:rsidRPr="00D24032" w14:paraId="3CE55E2C" w14:textId="77777777" w:rsidTr="64D1B61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070EF023" w14:textId="3557EE57" w:rsidR="002B14D0" w:rsidRPr="00D24032" w:rsidRDefault="002B14D0" w:rsidP="002B14D0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Breve descrizione del contratto</w:t>
            </w:r>
          </w:p>
        </w:tc>
        <w:tc>
          <w:tcPr>
            <w:tcW w:w="5145" w:type="dxa"/>
            <w:vAlign w:val="center"/>
          </w:tcPr>
          <w:p w14:paraId="5279E13A" w14:textId="77777777" w:rsidR="000815E1" w:rsidRPr="00D24032" w:rsidRDefault="000815E1" w:rsidP="000815E1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Fornitura prodotti software </w:t>
            </w:r>
            <w:proofErr w:type="spellStart"/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Multibrand</w:t>
            </w:r>
            <w:proofErr w:type="spellEnd"/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, manutenzione software e servizi connessi per P.A.:</w:t>
            </w:r>
          </w:p>
          <w:p w14:paraId="631F2543" w14:textId="28C24464" w:rsidR="002B14D0" w:rsidRPr="00D24032" w:rsidRDefault="000815E1" w:rsidP="000815E1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Database </w:t>
            </w:r>
            <w:proofErr w:type="spellStart"/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Vault</w:t>
            </w:r>
            <w:proofErr w:type="spellEnd"/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, </w:t>
            </w:r>
            <w:proofErr w:type="spellStart"/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GoldenGate</w:t>
            </w:r>
            <w:proofErr w:type="spellEnd"/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for Non Oracle Database, </w:t>
            </w:r>
            <w:proofErr w:type="spellStart"/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GoldenGate</w:t>
            </w:r>
            <w:proofErr w:type="spellEnd"/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e altri</w:t>
            </w:r>
          </w:p>
        </w:tc>
      </w:tr>
      <w:tr w:rsidR="00914013" w:rsidRPr="00D24032" w14:paraId="1CECD743" w14:textId="77777777" w:rsidTr="64D1B61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5F208D7" w14:textId="06C3996E" w:rsidR="00914013" w:rsidRPr="00D24032" w:rsidRDefault="00914013" w:rsidP="00914013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Data stipula</w:t>
            </w:r>
          </w:p>
        </w:tc>
        <w:tc>
          <w:tcPr>
            <w:tcW w:w="5145" w:type="dxa"/>
            <w:vAlign w:val="center"/>
          </w:tcPr>
          <w:p w14:paraId="5149F29A" w14:textId="50779BD0" w:rsidR="00914013" w:rsidRPr="00D24032" w:rsidRDefault="00914013" w:rsidP="00914013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28/11/2023</w:t>
            </w:r>
          </w:p>
        </w:tc>
      </w:tr>
      <w:tr w:rsidR="00914013" w:rsidRPr="00D24032" w14:paraId="4BE981BE" w14:textId="77777777" w:rsidTr="64D1B61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1EF7491C" w14:textId="261D66AD" w:rsidR="00914013" w:rsidRPr="00D24032" w:rsidRDefault="00914013" w:rsidP="00914013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Data inizio - Data fine attività</w:t>
            </w:r>
          </w:p>
        </w:tc>
        <w:tc>
          <w:tcPr>
            <w:tcW w:w="5145" w:type="dxa"/>
            <w:vAlign w:val="center"/>
          </w:tcPr>
          <w:p w14:paraId="0FBC7537" w14:textId="2EB67943" w:rsidR="00914013" w:rsidRPr="00D24032" w:rsidRDefault="009F21D4" w:rsidP="00914013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01</w:t>
            </w:r>
            <w:r w:rsidR="00914013"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/</w:t>
            </w: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0</w:t>
            </w:r>
            <w:r w:rsidR="00914013"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1/202</w:t>
            </w: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4</w:t>
            </w:r>
            <w:r w:rsidR="00914013"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</w:t>
            </w: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-</w:t>
            </w:r>
            <w:r w:rsidR="00914013"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</w:t>
            </w: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31</w:t>
            </w:r>
            <w:r w:rsidR="00914013"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/1</w:t>
            </w: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2</w:t>
            </w:r>
            <w:r w:rsidR="00914013"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/202</w:t>
            </w:r>
            <w:r w:rsidRPr="00D24032">
              <w:rPr>
                <w:rFonts w:ascii="Palatino Linotype" w:hAnsi="Palatino Linotype"/>
                <w:sz w:val="24"/>
                <w:szCs w:val="24"/>
                <w:lang w:val="it-IT"/>
              </w:rPr>
              <w:t>5</w:t>
            </w:r>
          </w:p>
        </w:tc>
      </w:tr>
    </w:tbl>
    <w:p w14:paraId="7DA5BCC3" w14:textId="12FF2DC0" w:rsidR="00A90B2A" w:rsidRPr="00D24032" w:rsidRDefault="00A90B2A" w:rsidP="00B51B57">
      <w:pPr>
        <w:rPr>
          <w:rFonts w:ascii="Palatino Linotype" w:hAnsi="Palatino Linotype" w:cstheme="minorHAnsi"/>
        </w:rPr>
      </w:pPr>
    </w:p>
    <w:p w14:paraId="54A904F4" w14:textId="77777777" w:rsidR="00EA6089" w:rsidRPr="00D24032" w:rsidRDefault="00EA6089" w:rsidP="00DE4EB7">
      <w:pPr>
        <w:rPr>
          <w:rFonts w:ascii="Palatino Linotype" w:hAnsi="Palatino Linotype"/>
        </w:rPr>
      </w:pPr>
    </w:p>
    <w:p w14:paraId="0FC4575B" w14:textId="77777777" w:rsidR="00EA6089" w:rsidRPr="00D24032" w:rsidRDefault="00EA6089" w:rsidP="00DE4EB7">
      <w:pPr>
        <w:rPr>
          <w:rFonts w:ascii="Palatino Linotype" w:hAnsi="Palatino Linotype"/>
        </w:rPr>
      </w:pPr>
    </w:p>
    <w:p w14:paraId="7BEAEF6E" w14:textId="7536557C" w:rsidR="00EA6089" w:rsidRPr="00D24032" w:rsidRDefault="00EA6089" w:rsidP="64D1B613">
      <w:pPr>
        <w:rPr>
          <w:rFonts w:ascii="Palatino Linotype" w:hAnsi="Palatino Linotype"/>
        </w:rPr>
      </w:pPr>
    </w:p>
    <w:p w14:paraId="35287933" w14:textId="49A2BF69" w:rsidR="64D1B613" w:rsidRPr="00D24032" w:rsidRDefault="64D1B613" w:rsidP="64D1B613">
      <w:pPr>
        <w:rPr>
          <w:rFonts w:ascii="Palatino Linotype" w:hAnsi="Palatino Linotype"/>
        </w:rPr>
      </w:pPr>
    </w:p>
    <w:p w14:paraId="3B03768F" w14:textId="77777777" w:rsidR="00DE4EB7" w:rsidRPr="00D24032" w:rsidRDefault="00DE4EB7" w:rsidP="006B4C1F">
      <w:pPr>
        <w:rPr>
          <w:rFonts w:ascii="Palatino Linotype" w:hAnsi="Palatino Linotype"/>
        </w:rPr>
      </w:pPr>
    </w:p>
    <w:p w14:paraId="545302C6" w14:textId="74AB096E" w:rsidR="000032D6" w:rsidRPr="00D24032" w:rsidRDefault="00AA5D6B" w:rsidP="64D1B613">
      <w:pPr>
        <w:pStyle w:val="Titolo1"/>
        <w:numPr>
          <w:ilvl w:val="0"/>
          <w:numId w:val="1"/>
        </w:numPr>
        <w:ind w:left="357" w:hanging="357"/>
        <w:rPr>
          <w:rFonts w:ascii="Palatino Linotype" w:hAnsi="Palatino Linotype" w:cstheme="minorBidi"/>
        </w:rPr>
      </w:pPr>
      <w:bookmarkStart w:id="2" w:name="_Toc193463736"/>
      <w:r w:rsidRPr="00D24032">
        <w:rPr>
          <w:rFonts w:ascii="Palatino Linotype" w:hAnsi="Palatino Linotype" w:cstheme="minorBidi"/>
        </w:rPr>
        <w:t>E</w:t>
      </w:r>
      <w:r w:rsidR="007A38E5" w:rsidRPr="00D24032">
        <w:rPr>
          <w:rFonts w:ascii="Palatino Linotype" w:hAnsi="Palatino Linotype" w:cstheme="minorBidi"/>
        </w:rPr>
        <w:t xml:space="preserve">xecutive </w:t>
      </w:r>
      <w:proofErr w:type="spellStart"/>
      <w:r w:rsidRPr="00D24032">
        <w:rPr>
          <w:rFonts w:ascii="Palatino Linotype" w:hAnsi="Palatino Linotype" w:cstheme="minorBidi"/>
        </w:rPr>
        <w:t>S</w:t>
      </w:r>
      <w:r w:rsidR="007A38E5" w:rsidRPr="00D24032">
        <w:rPr>
          <w:rFonts w:ascii="Palatino Linotype" w:hAnsi="Palatino Linotype" w:cstheme="minorBidi"/>
        </w:rPr>
        <w:t>ummary</w:t>
      </w:r>
      <w:bookmarkEnd w:id="2"/>
      <w:proofErr w:type="spellEnd"/>
    </w:p>
    <w:p w14:paraId="0DE66EA6" w14:textId="2EFA98E5" w:rsidR="00233787" w:rsidRPr="00D24032" w:rsidRDefault="00C850DC" w:rsidP="64D1B613">
      <w:pPr>
        <w:pStyle w:val="Titolo3"/>
        <w:numPr>
          <w:ilvl w:val="1"/>
          <w:numId w:val="1"/>
        </w:numPr>
        <w:tabs>
          <w:tab w:val="left" w:pos="9072"/>
        </w:tabs>
        <w:spacing w:before="117" w:after="240"/>
        <w:ind w:left="720" w:hanging="720"/>
        <w:jc w:val="both"/>
        <w:rPr>
          <w:rFonts w:ascii="Palatino Linotype" w:eastAsia="Times New Roman" w:hAnsi="Palatino Linotype" w:cstheme="minorBidi"/>
          <w:b/>
          <w:bCs/>
          <w:color w:val="auto"/>
        </w:rPr>
      </w:pPr>
      <w:bookmarkStart w:id="3" w:name="_Toc193463737"/>
      <w:r w:rsidRPr="00D24032">
        <w:rPr>
          <w:rFonts w:ascii="Palatino Linotype" w:eastAsia="Times New Roman" w:hAnsi="Palatino Linotype" w:cstheme="minorBidi"/>
          <w:b/>
          <w:bCs/>
          <w:color w:val="auto"/>
        </w:rPr>
        <w:t>Descrizione Sommaria dell’iniziativa contrattuale</w:t>
      </w:r>
      <w:bookmarkEnd w:id="3"/>
    </w:p>
    <w:p w14:paraId="2FD7E41E" w14:textId="6C39AD0D" w:rsidR="00B139F0" w:rsidRPr="00D24032" w:rsidRDefault="00B139F0" w:rsidP="00B139F0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 w:cstheme="minorHAnsi"/>
        </w:rPr>
      </w:pPr>
      <w:r w:rsidRPr="00D24032">
        <w:rPr>
          <w:rFonts w:ascii="Palatino Linotype" w:hAnsi="Palatino Linotype" w:cstheme="minorHAnsi"/>
        </w:rPr>
        <w:t>Si intende:</w:t>
      </w:r>
    </w:p>
    <w:p w14:paraId="08571178" w14:textId="43C94BAE" w:rsidR="00B139F0" w:rsidRPr="00D24032" w:rsidRDefault="00B139F0" w:rsidP="00B139F0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 w:cstheme="minorHAnsi"/>
        </w:rPr>
      </w:pPr>
      <w:r w:rsidRPr="00D24032">
        <w:rPr>
          <w:rFonts w:ascii="Palatino Linotype" w:hAnsi="Palatino Linotype" w:cstheme="minorHAnsi"/>
        </w:rPr>
        <w:t xml:space="preserve">- continuare </w:t>
      </w:r>
      <w:proofErr w:type="gramStart"/>
      <w:r w:rsidRPr="00D24032">
        <w:rPr>
          <w:rFonts w:ascii="Palatino Linotype" w:hAnsi="Palatino Linotype" w:cstheme="minorHAnsi"/>
        </w:rPr>
        <w:t>ad</w:t>
      </w:r>
      <w:proofErr w:type="gramEnd"/>
      <w:r w:rsidRPr="00D24032">
        <w:rPr>
          <w:rFonts w:ascii="Palatino Linotype" w:hAnsi="Palatino Linotype" w:cstheme="minorHAnsi"/>
        </w:rPr>
        <w:t xml:space="preserve"> adottare le stesse tecnologie Oracle di data management e data security nell’ambito del rifacimento architetturale a microservizi del nuovo Sistema del Processo Civile Telematico, del nuovo Sistema Penale e nel nuovo Sistema Documentale (Mercurio);</w:t>
      </w:r>
    </w:p>
    <w:p w14:paraId="0F45CF69" w14:textId="05D788A0" w:rsidR="00B139F0" w:rsidRPr="00D24032" w:rsidRDefault="00B139F0" w:rsidP="00B139F0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 w:cstheme="minorHAnsi"/>
        </w:rPr>
      </w:pPr>
      <w:r w:rsidRPr="00D24032">
        <w:rPr>
          <w:rFonts w:ascii="Palatino Linotype" w:hAnsi="Palatino Linotype" w:cstheme="minorHAnsi"/>
        </w:rPr>
        <w:t xml:space="preserve">- continuare </w:t>
      </w:r>
      <w:proofErr w:type="gramStart"/>
      <w:r w:rsidRPr="00D24032">
        <w:rPr>
          <w:rFonts w:ascii="Palatino Linotype" w:hAnsi="Palatino Linotype" w:cstheme="minorHAnsi"/>
        </w:rPr>
        <w:t>ad</w:t>
      </w:r>
      <w:proofErr w:type="gramEnd"/>
      <w:r w:rsidRPr="00D24032">
        <w:rPr>
          <w:rFonts w:ascii="Palatino Linotype" w:hAnsi="Palatino Linotype" w:cstheme="minorHAnsi"/>
        </w:rPr>
        <w:t xml:space="preserve"> adottare le stesse tecnologie Oracle di data </w:t>
      </w:r>
      <w:proofErr w:type="spellStart"/>
      <w:r w:rsidRPr="00D24032">
        <w:rPr>
          <w:rFonts w:ascii="Palatino Linotype" w:hAnsi="Palatino Linotype" w:cstheme="minorHAnsi"/>
        </w:rPr>
        <w:t>analisys</w:t>
      </w:r>
      <w:proofErr w:type="spellEnd"/>
      <w:r w:rsidRPr="00D24032">
        <w:rPr>
          <w:rFonts w:ascii="Palatino Linotype" w:hAnsi="Palatino Linotype" w:cstheme="minorHAnsi"/>
        </w:rPr>
        <w:t xml:space="preserve"> e data </w:t>
      </w:r>
      <w:proofErr w:type="spellStart"/>
      <w:r w:rsidRPr="00D24032">
        <w:rPr>
          <w:rFonts w:ascii="Palatino Linotype" w:hAnsi="Palatino Linotype" w:cstheme="minorHAnsi"/>
        </w:rPr>
        <w:t>magement</w:t>
      </w:r>
      <w:proofErr w:type="spellEnd"/>
      <w:r w:rsidRPr="00D24032">
        <w:rPr>
          <w:rFonts w:ascii="Palatino Linotype" w:hAnsi="Palatino Linotype" w:cstheme="minorHAnsi"/>
        </w:rPr>
        <w:t xml:space="preserve"> nell’ambito del nuovo </w:t>
      </w:r>
      <w:proofErr w:type="spellStart"/>
      <w:r w:rsidRPr="00D24032">
        <w:rPr>
          <w:rFonts w:ascii="Palatino Linotype" w:hAnsi="Palatino Linotype" w:cstheme="minorHAnsi"/>
        </w:rPr>
        <w:t>DataLake</w:t>
      </w:r>
      <w:proofErr w:type="spellEnd"/>
      <w:r w:rsidRPr="00D24032">
        <w:rPr>
          <w:rFonts w:ascii="Palatino Linotype" w:hAnsi="Palatino Linotype" w:cstheme="minorHAnsi"/>
        </w:rPr>
        <w:t>;</w:t>
      </w:r>
    </w:p>
    <w:p w14:paraId="0432A612" w14:textId="1592F475" w:rsidR="00B139F0" w:rsidRPr="00D24032" w:rsidRDefault="00B139F0" w:rsidP="00B139F0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 w:cstheme="minorHAnsi"/>
        </w:rPr>
      </w:pPr>
      <w:r w:rsidRPr="00D24032">
        <w:rPr>
          <w:rFonts w:ascii="Palatino Linotype" w:hAnsi="Palatino Linotype" w:cstheme="minorHAnsi"/>
        </w:rPr>
        <w:t xml:space="preserve">- mantenere le tecnologie di middleware (Application Layer e </w:t>
      </w:r>
      <w:proofErr w:type="spellStart"/>
      <w:r w:rsidRPr="00D24032">
        <w:rPr>
          <w:rFonts w:ascii="Palatino Linotype" w:hAnsi="Palatino Linotype" w:cstheme="minorHAnsi"/>
        </w:rPr>
        <w:t>Document</w:t>
      </w:r>
      <w:proofErr w:type="spellEnd"/>
      <w:r w:rsidRPr="00D24032">
        <w:rPr>
          <w:rFonts w:ascii="Palatino Linotype" w:hAnsi="Palatino Linotype" w:cstheme="minorHAnsi"/>
        </w:rPr>
        <w:t xml:space="preserve"> Management) per il sistema di Multi Video Conferenza e per il sistema Archivio Riservato (ADI) fino alla sua completa reingegnerizzazione.</w:t>
      </w:r>
    </w:p>
    <w:p w14:paraId="2619B97D" w14:textId="77777777" w:rsidR="00B139F0" w:rsidRPr="00D24032" w:rsidRDefault="00B139F0" w:rsidP="00B139F0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 w:cstheme="minorHAnsi"/>
        </w:rPr>
      </w:pPr>
      <w:r w:rsidRPr="00D24032">
        <w:rPr>
          <w:rFonts w:ascii="Palatino Linotype" w:hAnsi="Palatino Linotype" w:cstheme="minorHAnsi"/>
        </w:rPr>
        <w:t>Il nuovo contratto ULA 2024-2025 dovrà inoltre estendere il perimetro dei prodotti inclusi alle seguenti tecnologie:</w:t>
      </w:r>
    </w:p>
    <w:p w14:paraId="43EDA5AF" w14:textId="0FF1537D" w:rsidR="00B139F0" w:rsidRPr="00D24032" w:rsidRDefault="00B139F0" w:rsidP="00B139F0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 w:cstheme="minorHAnsi"/>
        </w:rPr>
      </w:pPr>
      <w:r w:rsidRPr="00D24032">
        <w:rPr>
          <w:rFonts w:ascii="Palatino Linotype" w:hAnsi="Palatino Linotype" w:cstheme="minorHAnsi"/>
        </w:rPr>
        <w:t>-</w:t>
      </w:r>
      <w:r w:rsidR="00217D7A" w:rsidRPr="00D24032">
        <w:rPr>
          <w:rFonts w:ascii="Palatino Linotype" w:hAnsi="Palatino Linotype" w:cstheme="minorHAnsi"/>
        </w:rPr>
        <w:t xml:space="preserve"> </w:t>
      </w:r>
      <w:r w:rsidRPr="00D24032">
        <w:rPr>
          <w:rFonts w:ascii="Palatino Linotype" w:hAnsi="Palatino Linotype" w:cstheme="minorHAnsi"/>
        </w:rPr>
        <w:t xml:space="preserve">Oracle </w:t>
      </w:r>
      <w:proofErr w:type="spellStart"/>
      <w:r w:rsidRPr="00D24032">
        <w:rPr>
          <w:rFonts w:ascii="Palatino Linotype" w:hAnsi="Palatino Linotype" w:cstheme="minorHAnsi"/>
        </w:rPr>
        <w:t>Multitenant</w:t>
      </w:r>
      <w:proofErr w:type="spellEnd"/>
      <w:r w:rsidRPr="00D24032">
        <w:rPr>
          <w:rFonts w:ascii="Palatino Linotype" w:hAnsi="Palatino Linotype" w:cstheme="minorHAnsi"/>
        </w:rPr>
        <w:t xml:space="preserve"> (in quantità illimitata);</w:t>
      </w:r>
    </w:p>
    <w:p w14:paraId="0EFA0A09" w14:textId="3BDA1533" w:rsidR="00B139F0" w:rsidRPr="00D24032" w:rsidRDefault="00B139F0" w:rsidP="00B139F0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 w:cstheme="minorHAnsi"/>
        </w:rPr>
      </w:pPr>
      <w:r w:rsidRPr="00D24032">
        <w:rPr>
          <w:rFonts w:ascii="Palatino Linotype" w:hAnsi="Palatino Linotype" w:cstheme="minorHAnsi"/>
        </w:rPr>
        <w:t>-</w:t>
      </w:r>
      <w:r w:rsidR="00217D7A" w:rsidRPr="00D24032">
        <w:rPr>
          <w:rFonts w:ascii="Palatino Linotype" w:hAnsi="Palatino Linotype" w:cstheme="minorHAnsi"/>
        </w:rPr>
        <w:t xml:space="preserve"> </w:t>
      </w:r>
      <w:r w:rsidRPr="00D24032">
        <w:rPr>
          <w:rFonts w:ascii="Palatino Linotype" w:hAnsi="Palatino Linotype" w:cstheme="minorHAnsi"/>
        </w:rPr>
        <w:t xml:space="preserve">Oracle </w:t>
      </w:r>
      <w:proofErr w:type="spellStart"/>
      <w:r w:rsidRPr="00D24032">
        <w:rPr>
          <w:rFonts w:ascii="Palatino Linotype" w:hAnsi="Palatino Linotype" w:cstheme="minorHAnsi"/>
        </w:rPr>
        <w:t>GoldenGate</w:t>
      </w:r>
      <w:proofErr w:type="spellEnd"/>
      <w:r w:rsidRPr="00D24032">
        <w:rPr>
          <w:rFonts w:ascii="Palatino Linotype" w:hAnsi="Palatino Linotype" w:cstheme="minorHAnsi"/>
        </w:rPr>
        <w:t xml:space="preserve"> (in quantità illimitata);</w:t>
      </w:r>
    </w:p>
    <w:p w14:paraId="295FBE7B" w14:textId="23673414" w:rsidR="00B139F0" w:rsidRPr="00D24032" w:rsidRDefault="00B139F0" w:rsidP="00B139F0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 w:cstheme="minorHAnsi"/>
        </w:rPr>
      </w:pPr>
      <w:r w:rsidRPr="00D24032">
        <w:rPr>
          <w:rFonts w:ascii="Palatino Linotype" w:hAnsi="Palatino Linotype" w:cstheme="minorHAnsi"/>
        </w:rPr>
        <w:t>-</w:t>
      </w:r>
      <w:r w:rsidR="00217D7A" w:rsidRPr="00D24032">
        <w:rPr>
          <w:rFonts w:ascii="Palatino Linotype" w:hAnsi="Palatino Linotype" w:cstheme="minorHAnsi"/>
        </w:rPr>
        <w:t xml:space="preserve"> </w:t>
      </w:r>
      <w:r w:rsidRPr="00D24032">
        <w:rPr>
          <w:rFonts w:ascii="Palatino Linotype" w:hAnsi="Palatino Linotype" w:cstheme="minorHAnsi"/>
        </w:rPr>
        <w:t xml:space="preserve">Oracle </w:t>
      </w:r>
      <w:proofErr w:type="spellStart"/>
      <w:r w:rsidRPr="00D24032">
        <w:rPr>
          <w:rFonts w:ascii="Palatino Linotype" w:hAnsi="Palatino Linotype" w:cstheme="minorHAnsi"/>
        </w:rPr>
        <w:t>GoldenGate</w:t>
      </w:r>
      <w:proofErr w:type="spellEnd"/>
      <w:r w:rsidRPr="00D24032">
        <w:rPr>
          <w:rFonts w:ascii="Palatino Linotype" w:hAnsi="Palatino Linotype" w:cstheme="minorHAnsi"/>
        </w:rPr>
        <w:t xml:space="preserve"> for Non-Oracle </w:t>
      </w:r>
      <w:proofErr w:type="spellStart"/>
      <w:r w:rsidRPr="00D24032">
        <w:rPr>
          <w:rFonts w:ascii="Palatino Linotype" w:hAnsi="Palatino Linotype" w:cstheme="minorHAnsi"/>
        </w:rPr>
        <w:t>Databse</w:t>
      </w:r>
      <w:proofErr w:type="spellEnd"/>
      <w:r w:rsidRPr="00D24032">
        <w:rPr>
          <w:rFonts w:ascii="Palatino Linotype" w:hAnsi="Palatino Linotype" w:cstheme="minorHAnsi"/>
        </w:rPr>
        <w:t xml:space="preserve"> (in quantità </w:t>
      </w:r>
      <w:proofErr w:type="spellStart"/>
      <w:r w:rsidRPr="00D24032">
        <w:rPr>
          <w:rFonts w:ascii="Palatino Linotype" w:hAnsi="Palatino Linotype" w:cstheme="minorHAnsi"/>
        </w:rPr>
        <w:t>fixed</w:t>
      </w:r>
      <w:proofErr w:type="spellEnd"/>
      <w:r w:rsidRPr="00D24032">
        <w:rPr>
          <w:rFonts w:ascii="Palatino Linotype" w:hAnsi="Palatino Linotype" w:cstheme="minorHAnsi"/>
        </w:rPr>
        <w:t>);</w:t>
      </w:r>
    </w:p>
    <w:p w14:paraId="102C3A15" w14:textId="0F2D57C2" w:rsidR="001E4C77" w:rsidRPr="00D24032" w:rsidRDefault="00B139F0" w:rsidP="00B139F0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 w:cstheme="minorHAnsi"/>
        </w:rPr>
      </w:pPr>
      <w:r w:rsidRPr="00D24032">
        <w:rPr>
          <w:rFonts w:ascii="Palatino Linotype" w:hAnsi="Palatino Linotype" w:cstheme="minorHAnsi"/>
        </w:rPr>
        <w:t>-</w:t>
      </w:r>
      <w:r w:rsidR="00217D7A" w:rsidRPr="00D24032">
        <w:rPr>
          <w:rFonts w:ascii="Palatino Linotype" w:hAnsi="Palatino Linotype" w:cstheme="minorHAnsi"/>
        </w:rPr>
        <w:t xml:space="preserve"> </w:t>
      </w:r>
      <w:r w:rsidRPr="00D24032">
        <w:rPr>
          <w:rFonts w:ascii="Palatino Linotype" w:hAnsi="Palatino Linotype" w:cstheme="minorHAnsi"/>
        </w:rPr>
        <w:t xml:space="preserve">Oracle Analytics Server (in quantità </w:t>
      </w:r>
      <w:proofErr w:type="spellStart"/>
      <w:r w:rsidRPr="00D24032">
        <w:rPr>
          <w:rFonts w:ascii="Palatino Linotype" w:hAnsi="Palatino Linotype" w:cstheme="minorHAnsi"/>
        </w:rPr>
        <w:t>fixed</w:t>
      </w:r>
      <w:proofErr w:type="spellEnd"/>
      <w:r w:rsidRPr="00D24032">
        <w:rPr>
          <w:rFonts w:ascii="Palatino Linotype" w:hAnsi="Palatino Linotype" w:cstheme="minorHAnsi"/>
        </w:rPr>
        <w:t>).</w:t>
      </w:r>
    </w:p>
    <w:p w14:paraId="78F4A7DF" w14:textId="77777777" w:rsidR="00217D7A" w:rsidRPr="00D24032" w:rsidRDefault="00217D7A" w:rsidP="00B139F0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 w:cstheme="minorHAnsi"/>
        </w:rPr>
      </w:pPr>
    </w:p>
    <w:p w14:paraId="3B774477" w14:textId="1325ADEB" w:rsidR="00215C85" w:rsidRPr="00D24032" w:rsidRDefault="00E37CCC" w:rsidP="00B139F0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 w:cstheme="minorHAnsi"/>
        </w:rPr>
      </w:pPr>
      <w:r w:rsidRPr="00D24032">
        <w:rPr>
          <w:rFonts w:ascii="Palatino Linotype" w:hAnsi="Palatino Linotype" w:cstheme="minorHAnsi"/>
        </w:rPr>
        <w:t xml:space="preserve">Al </w:t>
      </w:r>
      <w:r w:rsidR="00845745" w:rsidRPr="00D24032">
        <w:rPr>
          <w:rFonts w:ascii="Palatino Linotype" w:hAnsi="Palatino Linotype" w:cstheme="minorHAnsi"/>
        </w:rPr>
        <w:t>18</w:t>
      </w:r>
      <w:r w:rsidRPr="00D24032">
        <w:rPr>
          <w:rFonts w:ascii="Palatino Linotype" w:hAnsi="Palatino Linotype" w:cstheme="minorHAnsi"/>
        </w:rPr>
        <w:t xml:space="preserve"> </w:t>
      </w:r>
      <w:proofErr w:type="gramStart"/>
      <w:r w:rsidR="00845745" w:rsidRPr="00D24032">
        <w:rPr>
          <w:rFonts w:ascii="Palatino Linotype" w:hAnsi="Palatino Linotype" w:cstheme="minorHAnsi"/>
        </w:rPr>
        <w:t>Marzo</w:t>
      </w:r>
      <w:proofErr w:type="gramEnd"/>
      <w:r w:rsidR="00845745" w:rsidRPr="00D24032">
        <w:rPr>
          <w:rFonts w:ascii="Palatino Linotype" w:hAnsi="Palatino Linotype" w:cstheme="minorHAnsi"/>
        </w:rPr>
        <w:t xml:space="preserve"> 2025 </w:t>
      </w:r>
      <w:r w:rsidR="00215C85" w:rsidRPr="00D24032">
        <w:rPr>
          <w:rFonts w:ascii="Palatino Linotype" w:hAnsi="Palatino Linotype" w:cstheme="minorHAnsi"/>
        </w:rPr>
        <w:t xml:space="preserve">risultano liquidati </w:t>
      </w:r>
      <w:r w:rsidRPr="00D24032">
        <w:rPr>
          <w:rFonts w:ascii="Palatino Linotype" w:hAnsi="Palatino Linotype" w:cstheme="minorHAnsi"/>
        </w:rPr>
        <w:t>8.254.027,07 € IVA Esclusa.</w:t>
      </w:r>
    </w:p>
    <w:p w14:paraId="7BD9A8C9" w14:textId="77777777" w:rsidR="00215C85" w:rsidRPr="00D24032" w:rsidRDefault="00215C85" w:rsidP="00B139F0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 w:cstheme="minorHAnsi"/>
        </w:rPr>
      </w:pPr>
    </w:p>
    <w:p w14:paraId="03391301" w14:textId="77777777" w:rsidR="00845745" w:rsidRPr="00D24032" w:rsidRDefault="00845745" w:rsidP="00B139F0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 w:cstheme="minorHAnsi"/>
        </w:rPr>
      </w:pPr>
    </w:p>
    <w:p w14:paraId="3C826EE7" w14:textId="044151F7" w:rsidR="00FC5315" w:rsidRPr="00D24032" w:rsidRDefault="00FC5315" w:rsidP="64D1B613">
      <w:pPr>
        <w:pStyle w:val="Titolo1"/>
        <w:numPr>
          <w:ilvl w:val="0"/>
          <w:numId w:val="1"/>
        </w:numPr>
        <w:ind w:left="357" w:hanging="357"/>
        <w:rPr>
          <w:rFonts w:ascii="Palatino Linotype" w:hAnsi="Palatino Linotype" w:cstheme="minorBidi"/>
        </w:rPr>
      </w:pPr>
      <w:bookmarkStart w:id="4" w:name="_Toc193463738"/>
      <w:r w:rsidRPr="00D24032">
        <w:rPr>
          <w:rFonts w:ascii="Palatino Linotype" w:hAnsi="Palatino Linotype" w:cstheme="minorBidi"/>
        </w:rPr>
        <w:t>Obiettivi contr</w:t>
      </w:r>
      <w:r w:rsidR="00287187" w:rsidRPr="00D24032">
        <w:rPr>
          <w:rFonts w:ascii="Palatino Linotype" w:hAnsi="Palatino Linotype" w:cstheme="minorBidi"/>
        </w:rPr>
        <w:t>attuali</w:t>
      </w:r>
      <w:bookmarkEnd w:id="4"/>
    </w:p>
    <w:p w14:paraId="0FAA919C" w14:textId="77777777" w:rsidR="00343E1E" w:rsidRPr="00D24032" w:rsidRDefault="00343E1E" w:rsidP="002803C2">
      <w:pPr>
        <w:jc w:val="both"/>
        <w:rPr>
          <w:rFonts w:ascii="Palatino Linotype" w:hAnsi="Palatino Linotype" w:cstheme="minorHAnsi"/>
          <w:sz w:val="24"/>
          <w:szCs w:val="24"/>
        </w:rPr>
      </w:pPr>
    </w:p>
    <w:tbl>
      <w:tblPr>
        <w:tblStyle w:val="Grigliatabella"/>
        <w:tblW w:w="10669" w:type="dxa"/>
        <w:jc w:val="center"/>
        <w:tblLook w:val="04A0" w:firstRow="1" w:lastRow="0" w:firstColumn="1" w:lastColumn="0" w:noHBand="0" w:noVBand="1"/>
      </w:tblPr>
      <w:tblGrid>
        <w:gridCol w:w="3114"/>
        <w:gridCol w:w="3402"/>
        <w:gridCol w:w="1559"/>
        <w:gridCol w:w="1574"/>
        <w:gridCol w:w="1020"/>
      </w:tblGrid>
      <w:tr w:rsidR="00F35A3D" w:rsidRPr="00D24032" w14:paraId="24E81F37" w14:textId="77777777" w:rsidTr="001A2123">
        <w:trPr>
          <w:jc w:val="center"/>
        </w:trPr>
        <w:tc>
          <w:tcPr>
            <w:tcW w:w="3114" w:type="dxa"/>
            <w:shd w:val="clear" w:color="auto" w:fill="D9E2F3" w:themeFill="accent1" w:themeFillTint="33"/>
            <w:vAlign w:val="center"/>
          </w:tcPr>
          <w:p w14:paraId="4E749364" w14:textId="04F5006D" w:rsidR="00F53C03" w:rsidRPr="00D24032" w:rsidRDefault="008B1F4B" w:rsidP="00E6324C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Servizio</w:t>
            </w:r>
          </w:p>
        </w:tc>
        <w:tc>
          <w:tcPr>
            <w:tcW w:w="3402" w:type="dxa"/>
            <w:shd w:val="clear" w:color="auto" w:fill="D9E2F3" w:themeFill="accent1" w:themeFillTint="33"/>
            <w:vAlign w:val="center"/>
          </w:tcPr>
          <w:p w14:paraId="694740C3" w14:textId="564BAEB7" w:rsidR="00F53C03" w:rsidRPr="00D24032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Descrizione</w:t>
            </w:r>
          </w:p>
        </w:tc>
        <w:tc>
          <w:tcPr>
            <w:tcW w:w="1559" w:type="dxa"/>
            <w:shd w:val="clear" w:color="auto" w:fill="D9E2F3" w:themeFill="accent1" w:themeFillTint="33"/>
            <w:vAlign w:val="center"/>
          </w:tcPr>
          <w:p w14:paraId="6D8C6615" w14:textId="0AE7B271" w:rsidR="00F53C03" w:rsidRPr="00D24032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Valore economico</w:t>
            </w:r>
          </w:p>
          <w:p w14:paraId="3E352D63" w14:textId="75B53ED0" w:rsidR="00F53C03" w:rsidRPr="00D24032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(Iva Esclusa)</w:t>
            </w:r>
          </w:p>
        </w:tc>
        <w:tc>
          <w:tcPr>
            <w:tcW w:w="1574" w:type="dxa"/>
            <w:shd w:val="clear" w:color="auto" w:fill="D9E2F3" w:themeFill="accent1" w:themeFillTint="33"/>
            <w:vAlign w:val="center"/>
          </w:tcPr>
          <w:p w14:paraId="191B0F40" w14:textId="2D5F0AB9" w:rsidR="00F53C03" w:rsidRPr="00D24032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Incidenza</w:t>
            </w:r>
            <w:r w:rsidR="008B1F4B"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</w:t>
            </w:r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(%)</w:t>
            </w:r>
          </w:p>
        </w:tc>
        <w:tc>
          <w:tcPr>
            <w:tcW w:w="1020" w:type="dxa"/>
            <w:shd w:val="clear" w:color="auto" w:fill="D9E2F3" w:themeFill="accent1" w:themeFillTint="33"/>
            <w:vAlign w:val="center"/>
          </w:tcPr>
          <w:p w14:paraId="3E24CD63" w14:textId="77777777" w:rsidR="00F53C03" w:rsidRPr="00D24032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Stato</w:t>
            </w:r>
          </w:p>
        </w:tc>
      </w:tr>
      <w:tr w:rsidR="00F52794" w:rsidRPr="00D24032" w14:paraId="0F63A8AC" w14:textId="77777777" w:rsidTr="001A2123">
        <w:trPr>
          <w:trHeight w:val="1589"/>
          <w:jc w:val="center"/>
        </w:trPr>
        <w:tc>
          <w:tcPr>
            <w:tcW w:w="3114" w:type="dxa"/>
            <w:vAlign w:val="center"/>
          </w:tcPr>
          <w:p w14:paraId="543AB6F7" w14:textId="7D4A82EE" w:rsidR="00F52794" w:rsidRPr="00D24032" w:rsidRDefault="00F52794" w:rsidP="001A2123">
            <w:pPr>
              <w:rPr>
                <w:rFonts w:ascii="Palatino Linotype" w:hAnsi="Palatino Linotype"/>
                <w:b/>
                <w:bCs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b/>
                <w:bCs/>
                <w:sz w:val="24"/>
                <w:szCs w:val="24"/>
                <w:lang w:val="it-IT"/>
              </w:rPr>
              <w:t>Database Enterprise Edition</w:t>
            </w:r>
          </w:p>
        </w:tc>
        <w:tc>
          <w:tcPr>
            <w:tcW w:w="3402" w:type="dxa"/>
          </w:tcPr>
          <w:p w14:paraId="6B8A07EE" w14:textId="4BB39D8C" w:rsidR="00F52794" w:rsidRPr="00D24032" w:rsidRDefault="000A642F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È</w:t>
            </w:r>
            <w:r w:rsidR="00863D58"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il DBMS Oracle; assicura la disponibilità delle applicazioni critiche in ogni situazione di </w:t>
            </w:r>
            <w:proofErr w:type="spellStart"/>
            <w:r w:rsidR="00863D58"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possibile</w:t>
            </w:r>
            <w:proofErr w:type="spellEnd"/>
            <w:r w:rsidR="00863D58"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disservizio sia esso pianificato sia esso non pianificato, assicurando la capacità di gestione automatica dello storage, il mirroring dei dati tra i dispositivi di memorizzazione; è dotato di utilities il backup automatico verso l’area di recupero</w:t>
            </w:r>
          </w:p>
        </w:tc>
        <w:tc>
          <w:tcPr>
            <w:tcW w:w="1559" w:type="dxa"/>
            <w:vAlign w:val="center"/>
          </w:tcPr>
          <w:p w14:paraId="295F2C60" w14:textId="0539FBE4" w:rsidR="00F52794" w:rsidRPr="00D24032" w:rsidRDefault="00520FA2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lang w:val="it-IT"/>
              </w:rPr>
              <w:t>€ 1685255,64</w:t>
            </w:r>
          </w:p>
        </w:tc>
        <w:tc>
          <w:tcPr>
            <w:tcW w:w="1574" w:type="dxa"/>
            <w:vAlign w:val="center"/>
          </w:tcPr>
          <w:p w14:paraId="43361C8B" w14:textId="77777777" w:rsidR="00F52794" w:rsidRPr="00D24032" w:rsidRDefault="00F52794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</w:p>
        </w:tc>
        <w:tc>
          <w:tcPr>
            <w:tcW w:w="1020" w:type="dxa"/>
            <w:vAlign w:val="center"/>
          </w:tcPr>
          <w:p w14:paraId="0DF1C6C8" w14:textId="0D718D18" w:rsidR="00F52794" w:rsidRPr="00D24032" w:rsidRDefault="00943CEF" w:rsidP="00943CEF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Attivo</w:t>
            </w:r>
          </w:p>
        </w:tc>
      </w:tr>
      <w:tr w:rsidR="00863D58" w:rsidRPr="00D24032" w14:paraId="705362E1" w14:textId="77777777" w:rsidTr="001A2123">
        <w:trPr>
          <w:trHeight w:val="1589"/>
          <w:jc w:val="center"/>
        </w:trPr>
        <w:tc>
          <w:tcPr>
            <w:tcW w:w="3114" w:type="dxa"/>
            <w:vAlign w:val="center"/>
          </w:tcPr>
          <w:p w14:paraId="2E0E4EFD" w14:textId="044A3829" w:rsidR="00863D58" w:rsidRPr="00D24032" w:rsidRDefault="00AE7791" w:rsidP="001A2123">
            <w:pPr>
              <w:rPr>
                <w:rFonts w:ascii="Palatino Linotype" w:hAnsi="Palatino Linotype"/>
                <w:b/>
                <w:bCs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b/>
                <w:bCs/>
                <w:sz w:val="24"/>
                <w:szCs w:val="24"/>
                <w:lang w:val="it-IT"/>
              </w:rPr>
              <w:t>Real Application Cluster (RAC)</w:t>
            </w:r>
          </w:p>
        </w:tc>
        <w:tc>
          <w:tcPr>
            <w:tcW w:w="3402" w:type="dxa"/>
          </w:tcPr>
          <w:p w14:paraId="75F9031E" w14:textId="383522EA" w:rsidR="00863D58" w:rsidRPr="00D24032" w:rsidRDefault="00377F74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Supporta la distribuzione trasparente di un singolo database attraverso un cluster di server, fornendo alta affidabilità in caso di guasti di hardware o di interruzioni programmate.</w:t>
            </w:r>
          </w:p>
        </w:tc>
        <w:tc>
          <w:tcPr>
            <w:tcW w:w="1559" w:type="dxa"/>
            <w:vAlign w:val="center"/>
          </w:tcPr>
          <w:p w14:paraId="6CF9937A" w14:textId="79DB0424" w:rsidR="00863D58" w:rsidRPr="00D24032" w:rsidRDefault="0097256C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lang w:val="it-IT"/>
              </w:rPr>
              <w:t>€ 816018,29</w:t>
            </w:r>
          </w:p>
        </w:tc>
        <w:tc>
          <w:tcPr>
            <w:tcW w:w="1574" w:type="dxa"/>
            <w:vAlign w:val="center"/>
          </w:tcPr>
          <w:p w14:paraId="3D9B99A5" w14:textId="77777777" w:rsidR="00863D58" w:rsidRPr="00D24032" w:rsidRDefault="00863D58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</w:p>
        </w:tc>
        <w:tc>
          <w:tcPr>
            <w:tcW w:w="1020" w:type="dxa"/>
            <w:vAlign w:val="center"/>
          </w:tcPr>
          <w:p w14:paraId="15621F31" w14:textId="520CB328" w:rsidR="00863D58" w:rsidRPr="00D24032" w:rsidRDefault="00943CEF" w:rsidP="00943CEF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Attivo</w:t>
            </w:r>
          </w:p>
        </w:tc>
      </w:tr>
      <w:tr w:rsidR="001906EE" w:rsidRPr="00D24032" w14:paraId="3145ED58" w14:textId="77777777" w:rsidTr="003D79EB">
        <w:trPr>
          <w:trHeight w:val="890"/>
          <w:jc w:val="center"/>
        </w:trPr>
        <w:tc>
          <w:tcPr>
            <w:tcW w:w="3114" w:type="dxa"/>
            <w:vAlign w:val="center"/>
          </w:tcPr>
          <w:p w14:paraId="1C703E9C" w14:textId="62AF0B34" w:rsidR="001906EE" w:rsidRPr="00D24032" w:rsidRDefault="001906EE" w:rsidP="001A2123">
            <w:pPr>
              <w:rPr>
                <w:rFonts w:ascii="Palatino Linotype" w:hAnsi="Palatino Linotype"/>
                <w:b/>
                <w:bCs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b/>
                <w:bCs/>
                <w:sz w:val="24"/>
                <w:szCs w:val="24"/>
                <w:lang w:val="it-IT"/>
              </w:rPr>
              <w:t>Tuning Pack</w:t>
            </w:r>
          </w:p>
        </w:tc>
        <w:tc>
          <w:tcPr>
            <w:tcW w:w="3402" w:type="dxa"/>
          </w:tcPr>
          <w:p w14:paraId="191EBAF8" w14:textId="4C874E37" w:rsidR="001906EE" w:rsidRPr="00D24032" w:rsidRDefault="00323B25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proofErr w:type="gramStart"/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E’</w:t>
            </w:r>
            <w:proofErr w:type="gramEnd"/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il tuning automatico di SQL, ossia la </w:t>
            </w:r>
            <w:proofErr w:type="spellStart"/>
            <w:r w:rsidR="00D63DF6"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solutions</w:t>
            </w:r>
            <w:proofErr w:type="spellEnd"/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contenuta in Oracle Tuning Pack, supera tutte le difficoltà legate al tuning </w:t>
            </w:r>
            <w:proofErr w:type="spellStart"/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manual</w:t>
            </w:r>
            <w:proofErr w:type="spellEnd"/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.</w:t>
            </w:r>
          </w:p>
        </w:tc>
        <w:tc>
          <w:tcPr>
            <w:tcW w:w="1559" w:type="dxa"/>
            <w:vAlign w:val="center"/>
          </w:tcPr>
          <w:p w14:paraId="4AF77CD5" w14:textId="3E03ECD8" w:rsidR="001906EE" w:rsidRPr="00D24032" w:rsidRDefault="006C1F9C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lang w:val="it-IT"/>
              </w:rPr>
              <w:t>€ 177395,54</w:t>
            </w:r>
          </w:p>
        </w:tc>
        <w:tc>
          <w:tcPr>
            <w:tcW w:w="1574" w:type="dxa"/>
            <w:vAlign w:val="center"/>
          </w:tcPr>
          <w:p w14:paraId="137CCED3" w14:textId="77777777" w:rsidR="001906EE" w:rsidRPr="00D24032" w:rsidRDefault="001906EE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</w:p>
        </w:tc>
        <w:tc>
          <w:tcPr>
            <w:tcW w:w="1020" w:type="dxa"/>
            <w:vAlign w:val="center"/>
          </w:tcPr>
          <w:p w14:paraId="36172728" w14:textId="4C41D734" w:rsidR="001906EE" w:rsidRPr="00D24032" w:rsidRDefault="00943CEF" w:rsidP="00943CEF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Attivo</w:t>
            </w:r>
          </w:p>
        </w:tc>
      </w:tr>
      <w:tr w:rsidR="00323B25" w:rsidRPr="00D24032" w14:paraId="664E5A1C" w14:textId="77777777" w:rsidTr="003D79EB">
        <w:trPr>
          <w:trHeight w:val="890"/>
          <w:jc w:val="center"/>
        </w:trPr>
        <w:tc>
          <w:tcPr>
            <w:tcW w:w="3114" w:type="dxa"/>
            <w:vAlign w:val="center"/>
          </w:tcPr>
          <w:p w14:paraId="03585D51" w14:textId="72A9DD6C" w:rsidR="00323B25" w:rsidRPr="00D24032" w:rsidRDefault="00AB5BD2" w:rsidP="001A2123">
            <w:pPr>
              <w:rPr>
                <w:rFonts w:ascii="Palatino Linotype" w:hAnsi="Palatino Linotype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D24032">
              <w:rPr>
                <w:rFonts w:ascii="Palatino Linotype" w:hAnsi="Palatino Linotype"/>
                <w:b/>
                <w:bCs/>
                <w:sz w:val="24"/>
                <w:szCs w:val="24"/>
                <w:lang w:val="it-IT"/>
              </w:rPr>
              <w:t>Diagnostics</w:t>
            </w:r>
            <w:proofErr w:type="spellEnd"/>
            <w:r w:rsidRPr="00D24032">
              <w:rPr>
                <w:rFonts w:ascii="Palatino Linotype" w:hAnsi="Palatino Linotype"/>
                <w:b/>
                <w:bCs/>
                <w:sz w:val="24"/>
                <w:szCs w:val="24"/>
                <w:lang w:val="it-IT"/>
              </w:rPr>
              <w:t xml:space="preserve"> Pack</w:t>
            </w:r>
          </w:p>
        </w:tc>
        <w:tc>
          <w:tcPr>
            <w:tcW w:w="3402" w:type="dxa"/>
          </w:tcPr>
          <w:p w14:paraId="7000AB70" w14:textId="7F6EFAE6" w:rsidR="00323B25" w:rsidRPr="00D24032" w:rsidRDefault="001E0289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proofErr w:type="gramStart"/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E’</w:t>
            </w:r>
            <w:proofErr w:type="gramEnd"/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un motore autodiagnostico integrato nel kernel di Oracle Database, denominato </w:t>
            </w:r>
            <w:proofErr w:type="spellStart"/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lastRenderedPageBreak/>
              <w:t>Automatic</w:t>
            </w:r>
            <w:proofErr w:type="spellEnd"/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Database </w:t>
            </w:r>
            <w:proofErr w:type="spellStart"/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Diagnostic</w:t>
            </w:r>
            <w:proofErr w:type="spellEnd"/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Monitor (ADDM).</w:t>
            </w:r>
          </w:p>
        </w:tc>
        <w:tc>
          <w:tcPr>
            <w:tcW w:w="1559" w:type="dxa"/>
            <w:vAlign w:val="center"/>
          </w:tcPr>
          <w:p w14:paraId="64BDDEAC" w14:textId="3DCAFAE0" w:rsidR="00323B25" w:rsidRPr="00D24032" w:rsidRDefault="00520FA2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lang w:val="it-IT"/>
              </w:rPr>
              <w:lastRenderedPageBreak/>
              <w:t>€ 266093,31</w:t>
            </w:r>
          </w:p>
        </w:tc>
        <w:tc>
          <w:tcPr>
            <w:tcW w:w="1574" w:type="dxa"/>
            <w:vAlign w:val="center"/>
          </w:tcPr>
          <w:p w14:paraId="63145768" w14:textId="77777777" w:rsidR="00323B25" w:rsidRPr="00D24032" w:rsidRDefault="00323B25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</w:p>
        </w:tc>
        <w:tc>
          <w:tcPr>
            <w:tcW w:w="1020" w:type="dxa"/>
            <w:vAlign w:val="center"/>
          </w:tcPr>
          <w:p w14:paraId="1E6A1257" w14:textId="14E9BF48" w:rsidR="00323B25" w:rsidRPr="00D24032" w:rsidRDefault="00943CEF" w:rsidP="00943CEF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Attivo</w:t>
            </w:r>
          </w:p>
        </w:tc>
      </w:tr>
      <w:tr w:rsidR="001E0289" w:rsidRPr="00D24032" w14:paraId="0E34D109" w14:textId="77777777" w:rsidTr="003D79EB">
        <w:trPr>
          <w:trHeight w:val="890"/>
          <w:jc w:val="center"/>
        </w:trPr>
        <w:tc>
          <w:tcPr>
            <w:tcW w:w="3114" w:type="dxa"/>
            <w:vAlign w:val="center"/>
          </w:tcPr>
          <w:p w14:paraId="63522457" w14:textId="0AC0A6BE" w:rsidR="001E0289" w:rsidRPr="00D24032" w:rsidRDefault="00FF0B8F" w:rsidP="001A2123">
            <w:pPr>
              <w:rPr>
                <w:rFonts w:ascii="Palatino Linotype" w:hAnsi="Palatino Linotype"/>
                <w:b/>
                <w:bCs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b/>
                <w:bCs/>
                <w:sz w:val="24"/>
                <w:szCs w:val="24"/>
                <w:lang w:val="it-IT"/>
              </w:rPr>
              <w:t>Database Lifecycle Management</w:t>
            </w:r>
          </w:p>
        </w:tc>
        <w:tc>
          <w:tcPr>
            <w:tcW w:w="3402" w:type="dxa"/>
          </w:tcPr>
          <w:p w14:paraId="6149199C" w14:textId="0C2996EA" w:rsidR="001E0289" w:rsidRPr="00D24032" w:rsidRDefault="00D63DF6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gestisce l’intero ciclo di vita del database, dalla analisi della configurazione alla gestione delle patch e dei cambiamenti</w:t>
            </w:r>
            <w:r w:rsidR="006966E1"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.</w:t>
            </w:r>
          </w:p>
        </w:tc>
        <w:tc>
          <w:tcPr>
            <w:tcW w:w="1559" w:type="dxa"/>
            <w:vAlign w:val="center"/>
          </w:tcPr>
          <w:p w14:paraId="4C68671D" w14:textId="6D105263" w:rsidR="001E0289" w:rsidRPr="00D24032" w:rsidRDefault="0097256C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lang w:val="it-IT"/>
              </w:rPr>
              <w:t>€ 425748,5</w:t>
            </w:r>
          </w:p>
        </w:tc>
        <w:tc>
          <w:tcPr>
            <w:tcW w:w="1574" w:type="dxa"/>
            <w:vAlign w:val="center"/>
          </w:tcPr>
          <w:p w14:paraId="5C489D86" w14:textId="77777777" w:rsidR="001E0289" w:rsidRPr="00D24032" w:rsidRDefault="001E0289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</w:p>
        </w:tc>
        <w:tc>
          <w:tcPr>
            <w:tcW w:w="1020" w:type="dxa"/>
            <w:vAlign w:val="center"/>
          </w:tcPr>
          <w:p w14:paraId="68CFFD49" w14:textId="665BFB61" w:rsidR="001E0289" w:rsidRPr="00D24032" w:rsidRDefault="00943CEF" w:rsidP="00943CEF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Attivo</w:t>
            </w:r>
          </w:p>
        </w:tc>
      </w:tr>
      <w:tr w:rsidR="00C9507E" w:rsidRPr="00D24032" w14:paraId="51B73469" w14:textId="77777777" w:rsidTr="003D79EB">
        <w:trPr>
          <w:trHeight w:val="890"/>
          <w:jc w:val="center"/>
        </w:trPr>
        <w:tc>
          <w:tcPr>
            <w:tcW w:w="3114" w:type="dxa"/>
            <w:vAlign w:val="center"/>
          </w:tcPr>
          <w:p w14:paraId="61C2FA3B" w14:textId="7C6289B7" w:rsidR="00C9507E" w:rsidRPr="00D24032" w:rsidRDefault="00C9507E" w:rsidP="001A2123">
            <w:pPr>
              <w:rPr>
                <w:rFonts w:ascii="Palatino Linotype" w:hAnsi="Palatino Linotype"/>
                <w:b/>
                <w:bCs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b/>
                <w:bCs/>
                <w:sz w:val="24"/>
                <w:szCs w:val="24"/>
                <w:lang w:val="it-IT"/>
              </w:rPr>
              <w:t>Cloud Management Pack</w:t>
            </w:r>
          </w:p>
        </w:tc>
        <w:tc>
          <w:tcPr>
            <w:tcW w:w="3402" w:type="dxa"/>
          </w:tcPr>
          <w:p w14:paraId="10069CFA" w14:textId="5065BD6C" w:rsidR="00C9507E" w:rsidRPr="00D24032" w:rsidRDefault="001B3951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Permette la gestione dei Database in modalità “Database </w:t>
            </w:r>
            <w:proofErr w:type="spellStart"/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as</w:t>
            </w:r>
            <w:proofErr w:type="spellEnd"/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a service” (</w:t>
            </w:r>
            <w:proofErr w:type="spellStart"/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DBaas</w:t>
            </w:r>
            <w:proofErr w:type="spellEnd"/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).</w:t>
            </w:r>
          </w:p>
        </w:tc>
        <w:tc>
          <w:tcPr>
            <w:tcW w:w="1559" w:type="dxa"/>
            <w:vAlign w:val="center"/>
          </w:tcPr>
          <w:p w14:paraId="68C0D9BE" w14:textId="6EDF9965" w:rsidR="00C9507E" w:rsidRPr="00D24032" w:rsidRDefault="006C1F9C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lang w:val="it-IT"/>
              </w:rPr>
              <w:t>€ 266093,31</w:t>
            </w:r>
          </w:p>
        </w:tc>
        <w:tc>
          <w:tcPr>
            <w:tcW w:w="1574" w:type="dxa"/>
            <w:vAlign w:val="center"/>
          </w:tcPr>
          <w:p w14:paraId="496E2D55" w14:textId="77777777" w:rsidR="00C9507E" w:rsidRPr="00D24032" w:rsidRDefault="00C9507E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</w:p>
        </w:tc>
        <w:tc>
          <w:tcPr>
            <w:tcW w:w="1020" w:type="dxa"/>
            <w:vAlign w:val="center"/>
          </w:tcPr>
          <w:p w14:paraId="22CDF185" w14:textId="71C7AA5A" w:rsidR="00C9507E" w:rsidRPr="00D24032" w:rsidRDefault="00943CEF" w:rsidP="00943CEF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Attivo</w:t>
            </w:r>
          </w:p>
        </w:tc>
      </w:tr>
      <w:tr w:rsidR="00796278" w:rsidRPr="00D24032" w14:paraId="0D5C2336" w14:textId="77777777" w:rsidTr="003D79EB">
        <w:trPr>
          <w:trHeight w:val="890"/>
          <w:jc w:val="center"/>
        </w:trPr>
        <w:tc>
          <w:tcPr>
            <w:tcW w:w="3114" w:type="dxa"/>
            <w:vAlign w:val="center"/>
          </w:tcPr>
          <w:p w14:paraId="75DE0277" w14:textId="3C9B4F4C" w:rsidR="00796278" w:rsidRPr="00D24032" w:rsidRDefault="00BD0D35" w:rsidP="001A2123">
            <w:pPr>
              <w:rPr>
                <w:rFonts w:ascii="Palatino Linotype" w:hAnsi="Palatino Linotype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D24032">
              <w:rPr>
                <w:rFonts w:ascii="Palatino Linotype" w:hAnsi="Palatino Linotype"/>
                <w:b/>
                <w:bCs/>
                <w:sz w:val="24"/>
                <w:szCs w:val="24"/>
                <w:lang w:val="it-IT"/>
              </w:rPr>
              <w:t>Partitioning</w:t>
            </w:r>
            <w:proofErr w:type="spellEnd"/>
          </w:p>
        </w:tc>
        <w:tc>
          <w:tcPr>
            <w:tcW w:w="3402" w:type="dxa"/>
          </w:tcPr>
          <w:p w14:paraId="61117B46" w14:textId="3AAF02FA" w:rsidR="00796278" w:rsidRPr="00D24032" w:rsidRDefault="0068156C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Permette di elevare ai massimi livelli l’operatività e l’efficienza del database.</w:t>
            </w:r>
          </w:p>
        </w:tc>
        <w:tc>
          <w:tcPr>
            <w:tcW w:w="1559" w:type="dxa"/>
            <w:vAlign w:val="center"/>
          </w:tcPr>
          <w:p w14:paraId="76B329EE" w14:textId="353F7B34" w:rsidR="00796278" w:rsidRPr="00D24032" w:rsidRDefault="006C1F9C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lang w:val="it-IT"/>
              </w:rPr>
              <w:t>€ 329270,93</w:t>
            </w:r>
          </w:p>
        </w:tc>
        <w:tc>
          <w:tcPr>
            <w:tcW w:w="1574" w:type="dxa"/>
            <w:vAlign w:val="center"/>
          </w:tcPr>
          <w:p w14:paraId="525C992E" w14:textId="77777777" w:rsidR="00796278" w:rsidRPr="00D24032" w:rsidRDefault="00796278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</w:p>
        </w:tc>
        <w:tc>
          <w:tcPr>
            <w:tcW w:w="1020" w:type="dxa"/>
            <w:vAlign w:val="center"/>
          </w:tcPr>
          <w:p w14:paraId="456D4E28" w14:textId="13DF310A" w:rsidR="00796278" w:rsidRPr="00D24032" w:rsidRDefault="00943CEF" w:rsidP="00943CEF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Attivo</w:t>
            </w:r>
          </w:p>
        </w:tc>
      </w:tr>
      <w:tr w:rsidR="00EB4ACB" w:rsidRPr="00D24032" w14:paraId="0430E2DB" w14:textId="77777777" w:rsidTr="003D79EB">
        <w:trPr>
          <w:trHeight w:val="890"/>
          <w:jc w:val="center"/>
        </w:trPr>
        <w:tc>
          <w:tcPr>
            <w:tcW w:w="3114" w:type="dxa"/>
            <w:vAlign w:val="center"/>
          </w:tcPr>
          <w:p w14:paraId="79C0EEFE" w14:textId="627B99B6" w:rsidR="00EB4ACB" w:rsidRPr="00D24032" w:rsidRDefault="00EB4ACB" w:rsidP="001A2123">
            <w:pPr>
              <w:rPr>
                <w:rFonts w:ascii="Palatino Linotype" w:hAnsi="Palatino Linotype"/>
                <w:b/>
                <w:bCs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b/>
                <w:bCs/>
                <w:sz w:val="24"/>
                <w:szCs w:val="24"/>
                <w:lang w:val="it-IT"/>
              </w:rPr>
              <w:t>Advanced Security</w:t>
            </w:r>
          </w:p>
        </w:tc>
        <w:tc>
          <w:tcPr>
            <w:tcW w:w="3402" w:type="dxa"/>
          </w:tcPr>
          <w:p w14:paraId="799D7E9B" w14:textId="12B742F3" w:rsidR="00EB4ACB" w:rsidRPr="00D24032" w:rsidRDefault="008202AA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Un tool di funzionalità che include funzioni di cifratura sul disco del database, proteggendo così le informazioni sensibili contro l’accesso diretto a livello di sistema operativo e dei sistemi di archiviazione, cifratura sul canale, proteggendo quindi la riservatezza e l'integrità dei dati che viaggiano sulla rete utilizzando tecnologie di crittografia e </w:t>
            </w:r>
            <w:proofErr w:type="spellStart"/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hashing</w:t>
            </w:r>
            <w:proofErr w:type="spellEnd"/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, e di controllo degli accessi al database, fornendo, in alternativa all’autenticazione basata su username e password, supporto per l’autenticazione al database basata su PKI, Kerberos e RADIUS</w:t>
            </w:r>
            <w:r w:rsidR="00C57F94"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.</w:t>
            </w:r>
          </w:p>
        </w:tc>
        <w:tc>
          <w:tcPr>
            <w:tcW w:w="1559" w:type="dxa"/>
            <w:vAlign w:val="center"/>
          </w:tcPr>
          <w:p w14:paraId="2A0EF5B9" w14:textId="1B46EBD1" w:rsidR="00EB4ACB" w:rsidRPr="00D24032" w:rsidRDefault="00520FA2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lang w:val="it-IT"/>
              </w:rPr>
              <w:t>€ 522849,52</w:t>
            </w:r>
          </w:p>
        </w:tc>
        <w:tc>
          <w:tcPr>
            <w:tcW w:w="1574" w:type="dxa"/>
            <w:vAlign w:val="center"/>
          </w:tcPr>
          <w:p w14:paraId="1AF585F6" w14:textId="77777777" w:rsidR="00EB4ACB" w:rsidRPr="00D24032" w:rsidRDefault="00EB4ACB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</w:p>
        </w:tc>
        <w:tc>
          <w:tcPr>
            <w:tcW w:w="1020" w:type="dxa"/>
            <w:vAlign w:val="center"/>
          </w:tcPr>
          <w:p w14:paraId="5820FA58" w14:textId="7469074C" w:rsidR="00EB4ACB" w:rsidRPr="00D24032" w:rsidRDefault="00943CEF" w:rsidP="00943CEF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Attivo</w:t>
            </w:r>
          </w:p>
        </w:tc>
      </w:tr>
      <w:tr w:rsidR="00717475" w:rsidRPr="00D24032" w14:paraId="0B27641B" w14:textId="77777777" w:rsidTr="003D79EB">
        <w:trPr>
          <w:trHeight w:val="890"/>
          <w:jc w:val="center"/>
        </w:trPr>
        <w:tc>
          <w:tcPr>
            <w:tcW w:w="3114" w:type="dxa"/>
            <w:vAlign w:val="center"/>
          </w:tcPr>
          <w:p w14:paraId="1298B561" w14:textId="01382951" w:rsidR="00717475" w:rsidRPr="00D24032" w:rsidRDefault="00717475" w:rsidP="001A2123">
            <w:pPr>
              <w:rPr>
                <w:rFonts w:ascii="Palatino Linotype" w:hAnsi="Palatino Linotype"/>
                <w:b/>
                <w:bCs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b/>
                <w:bCs/>
                <w:sz w:val="24"/>
                <w:szCs w:val="24"/>
                <w:lang w:val="it-IT"/>
              </w:rPr>
              <w:t xml:space="preserve">Database </w:t>
            </w:r>
            <w:proofErr w:type="spellStart"/>
            <w:r w:rsidRPr="00D24032">
              <w:rPr>
                <w:rFonts w:ascii="Palatino Linotype" w:hAnsi="Palatino Linotype"/>
                <w:b/>
                <w:bCs/>
                <w:sz w:val="24"/>
                <w:szCs w:val="24"/>
                <w:lang w:val="it-IT"/>
              </w:rPr>
              <w:t>Vault</w:t>
            </w:r>
            <w:proofErr w:type="spellEnd"/>
          </w:p>
        </w:tc>
        <w:tc>
          <w:tcPr>
            <w:tcW w:w="3402" w:type="dxa"/>
          </w:tcPr>
          <w:p w14:paraId="07730BBB" w14:textId="33709766" w:rsidR="00717475" w:rsidRPr="00D24032" w:rsidRDefault="007670CE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proofErr w:type="gramStart"/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E’</w:t>
            </w:r>
            <w:proofErr w:type="gramEnd"/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la soluzione Oracle per far rispettare rigorosi controlli operativi per garantire la </w:t>
            </w:r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lastRenderedPageBreak/>
              <w:t>riservatezza e l’integrità all'interno del database Oracle e prevenire l’accesso ad-hoc ai dati applicativi, le modifiche alle strutture applicative e l'accesso ai dati applicativi da parte di utenti privilegiati</w:t>
            </w:r>
            <w:r w:rsidR="00573E4C"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.</w:t>
            </w:r>
          </w:p>
        </w:tc>
        <w:tc>
          <w:tcPr>
            <w:tcW w:w="1559" w:type="dxa"/>
            <w:vAlign w:val="center"/>
          </w:tcPr>
          <w:p w14:paraId="6395AEF7" w14:textId="614B2F94" w:rsidR="00717475" w:rsidRPr="00D24032" w:rsidRDefault="00E37EA6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lang w:val="it-IT"/>
              </w:rPr>
              <w:lastRenderedPageBreak/>
              <w:t>€ 71580,64</w:t>
            </w:r>
          </w:p>
        </w:tc>
        <w:tc>
          <w:tcPr>
            <w:tcW w:w="1574" w:type="dxa"/>
            <w:vAlign w:val="center"/>
          </w:tcPr>
          <w:p w14:paraId="0066361E" w14:textId="77777777" w:rsidR="00717475" w:rsidRPr="00D24032" w:rsidRDefault="00717475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</w:p>
        </w:tc>
        <w:tc>
          <w:tcPr>
            <w:tcW w:w="1020" w:type="dxa"/>
            <w:vAlign w:val="center"/>
          </w:tcPr>
          <w:p w14:paraId="6C36BE17" w14:textId="7C49F76D" w:rsidR="00717475" w:rsidRPr="00D24032" w:rsidRDefault="00943CEF" w:rsidP="00943CEF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Attivo</w:t>
            </w:r>
          </w:p>
        </w:tc>
      </w:tr>
      <w:tr w:rsidR="0098695E" w:rsidRPr="00D24032" w14:paraId="7AAEB782" w14:textId="77777777" w:rsidTr="003D79EB">
        <w:trPr>
          <w:trHeight w:val="890"/>
          <w:jc w:val="center"/>
        </w:trPr>
        <w:tc>
          <w:tcPr>
            <w:tcW w:w="3114" w:type="dxa"/>
            <w:vAlign w:val="center"/>
          </w:tcPr>
          <w:p w14:paraId="41C0A31E" w14:textId="1BC2F130" w:rsidR="0098695E" w:rsidRPr="00D24032" w:rsidRDefault="0098695E" w:rsidP="001A2123">
            <w:pPr>
              <w:rPr>
                <w:rFonts w:ascii="Palatino Linotype" w:hAnsi="Palatino Linotype"/>
                <w:b/>
                <w:bCs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b/>
                <w:bCs/>
                <w:sz w:val="24"/>
                <w:szCs w:val="24"/>
                <w:lang w:val="it-IT"/>
              </w:rPr>
              <w:t xml:space="preserve">Oracle </w:t>
            </w:r>
            <w:proofErr w:type="spellStart"/>
            <w:r w:rsidRPr="00D24032">
              <w:rPr>
                <w:rFonts w:ascii="Palatino Linotype" w:hAnsi="Palatino Linotype"/>
                <w:b/>
                <w:bCs/>
                <w:sz w:val="24"/>
                <w:szCs w:val="24"/>
                <w:lang w:val="it-IT"/>
              </w:rPr>
              <w:t>Multitenant</w:t>
            </w:r>
            <w:proofErr w:type="spellEnd"/>
          </w:p>
        </w:tc>
        <w:tc>
          <w:tcPr>
            <w:tcW w:w="3402" w:type="dxa"/>
          </w:tcPr>
          <w:p w14:paraId="163E9117" w14:textId="7D947771" w:rsidR="0098695E" w:rsidRPr="00D24032" w:rsidRDefault="0098695E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Tale tecnologia implementa un’architettura database basata su “container” che può contenere molteplici database denominati "</w:t>
            </w:r>
            <w:proofErr w:type="spellStart"/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pluggable</w:t>
            </w:r>
            <w:proofErr w:type="spellEnd"/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database" (PDB), indipendenti ed isolati tra loro in perfetta coerenza per garantire la persistenza dei dati in una architettura a microservizi. La stessa tecnologia inoltre consente di favorire processi di consolidamento e di scalabilità oltre che aumentare l’agilità, anche in ottica </w:t>
            </w:r>
            <w:proofErr w:type="spellStart"/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DevOps</w:t>
            </w:r>
            <w:proofErr w:type="spellEnd"/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, per chi deve gestire l’operatività in produzione dei sistemi.</w:t>
            </w:r>
          </w:p>
        </w:tc>
        <w:tc>
          <w:tcPr>
            <w:tcW w:w="1559" w:type="dxa"/>
            <w:vAlign w:val="center"/>
          </w:tcPr>
          <w:p w14:paraId="7950D500" w14:textId="6EAD301D" w:rsidR="0098695E" w:rsidRPr="00D24032" w:rsidRDefault="000707D8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lang w:val="it-IT"/>
              </w:rPr>
              <w:t>€ 609991,19</w:t>
            </w:r>
          </w:p>
        </w:tc>
        <w:tc>
          <w:tcPr>
            <w:tcW w:w="1574" w:type="dxa"/>
            <w:vAlign w:val="center"/>
          </w:tcPr>
          <w:p w14:paraId="2D08634D" w14:textId="77777777" w:rsidR="0098695E" w:rsidRPr="00D24032" w:rsidRDefault="0098695E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</w:p>
        </w:tc>
        <w:tc>
          <w:tcPr>
            <w:tcW w:w="1020" w:type="dxa"/>
            <w:vAlign w:val="center"/>
          </w:tcPr>
          <w:p w14:paraId="35D65604" w14:textId="3CA60483" w:rsidR="0098695E" w:rsidRPr="00D24032" w:rsidRDefault="00943CEF" w:rsidP="00943CEF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Attivo</w:t>
            </w:r>
          </w:p>
        </w:tc>
      </w:tr>
      <w:tr w:rsidR="00300F46" w:rsidRPr="00D24032" w14:paraId="203C7A42" w14:textId="77777777" w:rsidTr="003D79EB">
        <w:trPr>
          <w:trHeight w:val="890"/>
          <w:jc w:val="center"/>
        </w:trPr>
        <w:tc>
          <w:tcPr>
            <w:tcW w:w="3114" w:type="dxa"/>
            <w:vAlign w:val="center"/>
          </w:tcPr>
          <w:p w14:paraId="695D7984" w14:textId="3A3A0FB5" w:rsidR="00C2204B" w:rsidRPr="00D24032" w:rsidRDefault="00A51CED" w:rsidP="001A2123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b/>
                <w:bCs/>
                <w:sz w:val="24"/>
                <w:szCs w:val="24"/>
                <w:lang w:val="it-IT"/>
              </w:rPr>
              <w:t xml:space="preserve">Oracle </w:t>
            </w:r>
            <w:proofErr w:type="spellStart"/>
            <w:r w:rsidRPr="00D24032">
              <w:rPr>
                <w:rFonts w:ascii="Palatino Linotype" w:hAnsi="Palatino Linotype"/>
                <w:b/>
                <w:bCs/>
                <w:sz w:val="24"/>
                <w:szCs w:val="24"/>
                <w:lang w:val="it-IT"/>
              </w:rPr>
              <w:t>GoldenGate</w:t>
            </w:r>
            <w:proofErr w:type="spellEnd"/>
          </w:p>
        </w:tc>
        <w:tc>
          <w:tcPr>
            <w:tcW w:w="3402" w:type="dxa"/>
          </w:tcPr>
          <w:p w14:paraId="0C4ABD78" w14:textId="7CBD100F" w:rsidR="00300F46" w:rsidRPr="00D24032" w:rsidRDefault="00EB089D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Offre funzionalità di replica dati in tempo reale tra database eterogenei e distribuiti geograficamente, sia quindi di diversa release che di diversi costruttori (es. SQL Server e Oracle DB).</w:t>
            </w:r>
          </w:p>
        </w:tc>
        <w:tc>
          <w:tcPr>
            <w:tcW w:w="1559" w:type="dxa"/>
            <w:vAlign w:val="center"/>
          </w:tcPr>
          <w:p w14:paraId="2A536050" w14:textId="46C784B2" w:rsidR="00300F46" w:rsidRPr="00D24032" w:rsidRDefault="000707D8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lang w:val="it-IT"/>
              </w:rPr>
              <w:t>€ 2805079,89</w:t>
            </w:r>
          </w:p>
        </w:tc>
        <w:tc>
          <w:tcPr>
            <w:tcW w:w="1574" w:type="dxa"/>
            <w:vAlign w:val="center"/>
          </w:tcPr>
          <w:p w14:paraId="5BA2ADFC" w14:textId="759BE1DE" w:rsidR="00300F46" w:rsidRPr="00D24032" w:rsidRDefault="00300F46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</w:p>
        </w:tc>
        <w:tc>
          <w:tcPr>
            <w:tcW w:w="1020" w:type="dxa"/>
            <w:vAlign w:val="center"/>
          </w:tcPr>
          <w:p w14:paraId="0AF97CFC" w14:textId="4807EF6E" w:rsidR="00300F46" w:rsidRPr="00D24032" w:rsidRDefault="00943CEF" w:rsidP="00943CEF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Attivo</w:t>
            </w:r>
          </w:p>
        </w:tc>
      </w:tr>
      <w:tr w:rsidR="00E41392" w:rsidRPr="00D24032" w14:paraId="386D94B7" w14:textId="77777777" w:rsidTr="003D79EB">
        <w:trPr>
          <w:trHeight w:val="890"/>
          <w:jc w:val="center"/>
        </w:trPr>
        <w:tc>
          <w:tcPr>
            <w:tcW w:w="3114" w:type="dxa"/>
            <w:vAlign w:val="center"/>
          </w:tcPr>
          <w:p w14:paraId="66A8E3A3" w14:textId="6BBA9D49" w:rsidR="00E41392" w:rsidRPr="00D24032" w:rsidRDefault="00CF5722" w:rsidP="001A2123">
            <w:pPr>
              <w:rPr>
                <w:rFonts w:ascii="Palatino Linotype" w:hAnsi="Palatino Linotype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D24032">
              <w:rPr>
                <w:rFonts w:ascii="Palatino Linotype" w:hAnsi="Palatino Linotype"/>
                <w:b/>
                <w:bCs/>
                <w:sz w:val="24"/>
                <w:szCs w:val="24"/>
                <w:lang w:val="it-IT"/>
              </w:rPr>
              <w:t>GoldenGate</w:t>
            </w:r>
            <w:proofErr w:type="spellEnd"/>
            <w:r w:rsidRPr="00D24032">
              <w:rPr>
                <w:rFonts w:ascii="Palatino Linotype" w:hAnsi="Palatino Linotype"/>
                <w:b/>
                <w:bCs/>
                <w:sz w:val="24"/>
                <w:szCs w:val="24"/>
                <w:lang w:val="it-IT"/>
              </w:rPr>
              <w:t xml:space="preserve"> for Non Oracle Database</w:t>
            </w:r>
          </w:p>
        </w:tc>
        <w:tc>
          <w:tcPr>
            <w:tcW w:w="3402" w:type="dxa"/>
          </w:tcPr>
          <w:p w14:paraId="7831C685" w14:textId="558DD098" w:rsidR="00E41392" w:rsidRPr="00D24032" w:rsidRDefault="00AB529F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Consente di replicare dati in tempo reale tra database eterogenei sia di diversa release che di diversi costruttori quali ad esempio Oracle, </w:t>
            </w:r>
            <w:proofErr w:type="spellStart"/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PostgreSQL</w:t>
            </w:r>
            <w:proofErr w:type="spellEnd"/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, SQL Server, MySQL, Sybase, </w:t>
            </w:r>
            <w:proofErr w:type="spellStart"/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etc</w:t>
            </w:r>
            <w:proofErr w:type="spellEnd"/>
          </w:p>
        </w:tc>
        <w:tc>
          <w:tcPr>
            <w:tcW w:w="1559" w:type="dxa"/>
            <w:vAlign w:val="center"/>
          </w:tcPr>
          <w:p w14:paraId="2899C225" w14:textId="408D53FB" w:rsidR="00E41392" w:rsidRPr="00D24032" w:rsidRDefault="000707D8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/>
                <w:lang w:val="it-IT"/>
              </w:rPr>
              <w:t>€ 278650,32</w:t>
            </w:r>
          </w:p>
        </w:tc>
        <w:tc>
          <w:tcPr>
            <w:tcW w:w="1574" w:type="dxa"/>
            <w:vAlign w:val="center"/>
          </w:tcPr>
          <w:p w14:paraId="2DB9D996" w14:textId="77777777" w:rsidR="00E41392" w:rsidRPr="00D24032" w:rsidRDefault="00E41392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</w:p>
        </w:tc>
        <w:tc>
          <w:tcPr>
            <w:tcW w:w="1020" w:type="dxa"/>
            <w:vAlign w:val="center"/>
          </w:tcPr>
          <w:p w14:paraId="4DDD28A8" w14:textId="737920A1" w:rsidR="00E41392" w:rsidRPr="00D24032" w:rsidRDefault="00943CEF" w:rsidP="00943CEF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24032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Attivo</w:t>
            </w:r>
          </w:p>
        </w:tc>
      </w:tr>
    </w:tbl>
    <w:p w14:paraId="6621DDAB" w14:textId="3BFECAAA" w:rsidR="0065175C" w:rsidRPr="00D24032" w:rsidRDefault="0065175C" w:rsidP="003C328A">
      <w:pPr>
        <w:rPr>
          <w:rFonts w:ascii="Palatino Linotype" w:hAnsi="Palatino Linotype"/>
        </w:rPr>
      </w:pPr>
      <w:bookmarkStart w:id="5" w:name="_Toc126080521"/>
    </w:p>
    <w:p w14:paraId="4FE7C262" w14:textId="5E9A5F06" w:rsidR="003C328A" w:rsidRPr="00D24032" w:rsidRDefault="003C328A" w:rsidP="002047CA">
      <w:pPr>
        <w:widowControl/>
        <w:autoSpaceDE/>
        <w:autoSpaceDN/>
        <w:jc w:val="both"/>
        <w:rPr>
          <w:rFonts w:ascii="Palatino Linotype" w:hAnsi="Palatino Linotype" w:cstheme="minorHAnsi"/>
          <w:sz w:val="24"/>
          <w:szCs w:val="24"/>
        </w:rPr>
      </w:pPr>
    </w:p>
    <w:p w14:paraId="2671D842" w14:textId="77777777" w:rsidR="00434558" w:rsidRPr="00D24032" w:rsidRDefault="00434558" w:rsidP="002047CA">
      <w:pPr>
        <w:widowControl/>
        <w:autoSpaceDE/>
        <w:autoSpaceDN/>
        <w:jc w:val="both"/>
        <w:rPr>
          <w:rFonts w:ascii="Palatino Linotype" w:hAnsi="Palatino Linotype" w:cstheme="minorHAnsi"/>
          <w:sz w:val="24"/>
          <w:szCs w:val="24"/>
        </w:rPr>
      </w:pPr>
    </w:p>
    <w:p w14:paraId="15AEC39E" w14:textId="77777777" w:rsidR="005236E1" w:rsidRPr="00D24032" w:rsidRDefault="005236E1" w:rsidP="002047CA">
      <w:pPr>
        <w:widowControl/>
        <w:autoSpaceDE/>
        <w:autoSpaceDN/>
        <w:jc w:val="both"/>
        <w:rPr>
          <w:rFonts w:ascii="Palatino Linotype" w:hAnsi="Palatino Linotype" w:cstheme="minorHAnsi"/>
          <w:sz w:val="24"/>
          <w:szCs w:val="24"/>
        </w:rPr>
      </w:pPr>
    </w:p>
    <w:p w14:paraId="196B0AC2" w14:textId="3C41CD73" w:rsidR="00F12956" w:rsidRPr="00D24032" w:rsidRDefault="0065354A" w:rsidP="64D1B613">
      <w:pPr>
        <w:pStyle w:val="Titolo1"/>
        <w:numPr>
          <w:ilvl w:val="0"/>
          <w:numId w:val="1"/>
        </w:numPr>
        <w:ind w:left="357" w:hanging="357"/>
        <w:rPr>
          <w:rFonts w:ascii="Palatino Linotype" w:hAnsi="Palatino Linotype" w:cstheme="minorBidi"/>
        </w:rPr>
      </w:pPr>
      <w:bookmarkStart w:id="6" w:name="_Toc193463739"/>
      <w:r w:rsidRPr="00D24032">
        <w:rPr>
          <w:rFonts w:ascii="Palatino Linotype" w:hAnsi="Palatino Linotype" w:cstheme="minorBidi"/>
        </w:rPr>
        <w:t>E</w:t>
      </w:r>
      <w:r w:rsidR="007A38E5" w:rsidRPr="00D24032">
        <w:rPr>
          <w:rFonts w:ascii="Palatino Linotype" w:hAnsi="Palatino Linotype" w:cstheme="minorBidi"/>
        </w:rPr>
        <w:t>secuzione del contratto</w:t>
      </w:r>
      <w:bookmarkEnd w:id="6"/>
      <w:r w:rsidR="007A38E5" w:rsidRPr="00D24032">
        <w:rPr>
          <w:rFonts w:ascii="Palatino Linotype" w:hAnsi="Palatino Linotype" w:cstheme="minorBidi"/>
        </w:rPr>
        <w:t xml:space="preserve"> </w:t>
      </w:r>
      <w:bookmarkEnd w:id="5"/>
    </w:p>
    <w:p w14:paraId="702DD75F" w14:textId="77777777" w:rsidR="003B481F" w:rsidRPr="00D24032" w:rsidRDefault="003B481F" w:rsidP="003B481F">
      <w:pPr>
        <w:rPr>
          <w:rFonts w:ascii="Palatino Linotype" w:hAnsi="Palatino Linotype"/>
        </w:rPr>
      </w:pPr>
    </w:p>
    <w:p w14:paraId="5F343E24" w14:textId="2947FF76" w:rsidR="00D93D8B" w:rsidRPr="00D24032" w:rsidRDefault="0041236B" w:rsidP="64D1B613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1" w:hanging="431"/>
        <w:jc w:val="both"/>
        <w:rPr>
          <w:rFonts w:ascii="Palatino Linotype" w:eastAsia="Times New Roman" w:hAnsi="Palatino Linotype" w:cstheme="minorBidi"/>
          <w:b/>
          <w:bCs/>
          <w:color w:val="auto"/>
        </w:rPr>
      </w:pPr>
      <w:bookmarkStart w:id="7" w:name="_Toc193463740"/>
      <w:bookmarkStart w:id="8" w:name="_Toc126080522"/>
      <w:r w:rsidRPr="00D24032">
        <w:rPr>
          <w:rFonts w:ascii="Palatino Linotype" w:eastAsia="Times New Roman" w:hAnsi="Palatino Linotype" w:cstheme="minorBidi"/>
          <w:b/>
          <w:bCs/>
          <w:color w:val="auto"/>
        </w:rPr>
        <w:t xml:space="preserve">Stato di avanzamento </w:t>
      </w:r>
      <w:r w:rsidR="007A38E5" w:rsidRPr="00D24032">
        <w:rPr>
          <w:rFonts w:ascii="Palatino Linotype" w:eastAsia="Times New Roman" w:hAnsi="Palatino Linotype" w:cstheme="minorBidi"/>
          <w:b/>
          <w:bCs/>
          <w:color w:val="auto"/>
        </w:rPr>
        <w:t xml:space="preserve">- </w:t>
      </w:r>
      <w:r w:rsidRPr="00D24032">
        <w:rPr>
          <w:rFonts w:ascii="Palatino Linotype" w:eastAsia="Times New Roman" w:hAnsi="Palatino Linotype" w:cstheme="minorBidi"/>
          <w:b/>
          <w:bCs/>
          <w:color w:val="auto"/>
        </w:rPr>
        <w:t>SAL e SAC</w:t>
      </w:r>
      <w:bookmarkEnd w:id="7"/>
    </w:p>
    <w:p w14:paraId="15563504" w14:textId="484A7D32" w:rsidR="00AD41CB" w:rsidRPr="00D24032" w:rsidRDefault="00445675" w:rsidP="00300F46">
      <w:pPr>
        <w:jc w:val="both"/>
        <w:rPr>
          <w:rFonts w:ascii="Palatino Linotype" w:hAnsi="Palatino Linotype" w:cstheme="minorHAnsi"/>
          <w:sz w:val="24"/>
          <w:szCs w:val="24"/>
        </w:rPr>
      </w:pPr>
      <w:r w:rsidRPr="00D24032">
        <w:rPr>
          <w:rFonts w:ascii="Palatino Linotype" w:hAnsi="Palatino Linotype" w:cstheme="minorHAnsi"/>
          <w:sz w:val="24"/>
          <w:szCs w:val="24"/>
        </w:rPr>
        <w:t xml:space="preserve">Licenze disponibili senza </w:t>
      </w:r>
      <w:r w:rsidR="00447CFD" w:rsidRPr="00D24032">
        <w:rPr>
          <w:rFonts w:ascii="Palatino Linotype" w:hAnsi="Palatino Linotype" w:cstheme="minorHAnsi"/>
          <w:sz w:val="24"/>
          <w:szCs w:val="24"/>
        </w:rPr>
        <w:t>nessun SAL/SAC da segnalare.</w:t>
      </w:r>
    </w:p>
    <w:p w14:paraId="5267F081" w14:textId="77777777" w:rsidR="0087206A" w:rsidRPr="00D24032" w:rsidRDefault="0087206A" w:rsidP="00300F46">
      <w:pPr>
        <w:jc w:val="both"/>
        <w:rPr>
          <w:rFonts w:ascii="Palatino Linotype" w:hAnsi="Palatino Linotype" w:cstheme="minorHAnsi"/>
          <w:sz w:val="24"/>
          <w:szCs w:val="24"/>
        </w:rPr>
      </w:pPr>
    </w:p>
    <w:p w14:paraId="676D1378" w14:textId="432F3784" w:rsidR="00F12956" w:rsidRPr="00D24032" w:rsidRDefault="0062766A" w:rsidP="64D1B613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Bidi"/>
          <w:b/>
          <w:bCs/>
          <w:color w:val="auto"/>
        </w:rPr>
      </w:pPr>
      <w:bookmarkStart w:id="9" w:name="_Toc193463741"/>
      <w:r w:rsidRPr="00D24032">
        <w:rPr>
          <w:rFonts w:ascii="Palatino Linotype" w:eastAsia="Times New Roman" w:hAnsi="Palatino Linotype" w:cstheme="minorBidi"/>
          <w:b/>
          <w:bCs/>
          <w:color w:val="auto"/>
        </w:rPr>
        <w:t>Indicatori di monitoraggio e livelli di servizio</w:t>
      </w:r>
      <w:bookmarkEnd w:id="9"/>
      <w:r w:rsidR="002947AB" w:rsidRPr="00D24032">
        <w:rPr>
          <w:rFonts w:ascii="Palatino Linotype" w:eastAsia="Times New Roman" w:hAnsi="Palatino Linotype" w:cstheme="minorBidi"/>
          <w:b/>
          <w:bCs/>
          <w:color w:val="auto"/>
        </w:rPr>
        <w:t xml:space="preserve"> </w:t>
      </w:r>
      <w:bookmarkEnd w:id="8"/>
    </w:p>
    <w:p w14:paraId="7CEB491C" w14:textId="1F9D02E6" w:rsidR="008D01C3" w:rsidRPr="00D24032" w:rsidRDefault="00232AEA" w:rsidP="00C10F38">
      <w:pPr>
        <w:jc w:val="both"/>
        <w:rPr>
          <w:rFonts w:ascii="Palatino Linotype" w:hAnsi="Palatino Linotype" w:cstheme="minorHAnsi"/>
          <w:sz w:val="24"/>
          <w:szCs w:val="24"/>
        </w:rPr>
      </w:pPr>
      <w:r w:rsidRPr="00D24032">
        <w:rPr>
          <w:rFonts w:ascii="Palatino Linotype" w:hAnsi="Palatino Linotype" w:cstheme="minorHAnsi"/>
          <w:sz w:val="24"/>
          <w:szCs w:val="24"/>
        </w:rPr>
        <w:t>L’attivi</w:t>
      </w:r>
      <w:r w:rsidR="00D24AD3" w:rsidRPr="00D24032">
        <w:rPr>
          <w:rFonts w:ascii="Palatino Linotype" w:hAnsi="Palatino Linotype" w:cstheme="minorHAnsi"/>
          <w:sz w:val="24"/>
          <w:szCs w:val="24"/>
        </w:rPr>
        <w:t xml:space="preserve">tà di monitoraggio svolta durante l’esecuzione del contratto nel </w:t>
      </w:r>
      <w:r w:rsidR="00A75944" w:rsidRPr="00D24032">
        <w:rPr>
          <w:rFonts w:ascii="Palatino Linotype" w:hAnsi="Palatino Linotype" w:cstheme="minorHAnsi"/>
          <w:sz w:val="24"/>
          <w:szCs w:val="24"/>
        </w:rPr>
        <w:t>2024</w:t>
      </w:r>
      <w:r w:rsidR="00236E0B" w:rsidRPr="00D24032">
        <w:rPr>
          <w:rFonts w:ascii="Palatino Linotype" w:hAnsi="Palatino Linotype" w:cstheme="minorHAnsi"/>
          <w:sz w:val="24"/>
          <w:szCs w:val="24"/>
        </w:rPr>
        <w:t xml:space="preserve"> e nel 2025</w:t>
      </w:r>
      <w:r w:rsidR="00FC085A" w:rsidRPr="00D24032">
        <w:rPr>
          <w:rFonts w:ascii="Palatino Linotype" w:hAnsi="Palatino Linotype" w:cstheme="minorHAnsi"/>
          <w:sz w:val="24"/>
          <w:szCs w:val="24"/>
        </w:rPr>
        <w:t xml:space="preserve"> </w:t>
      </w:r>
      <w:r w:rsidR="007E6280" w:rsidRPr="00D24032">
        <w:rPr>
          <w:rFonts w:ascii="Palatino Linotype" w:hAnsi="Palatino Linotype" w:cstheme="minorHAnsi"/>
          <w:sz w:val="24"/>
          <w:szCs w:val="24"/>
        </w:rPr>
        <w:t>si è basata sul calcolo del rispetto dei valori attesi per ciascun indicatore</w:t>
      </w:r>
      <w:r w:rsidR="00FA3B3E" w:rsidRPr="00D24032">
        <w:rPr>
          <w:rFonts w:ascii="Palatino Linotype" w:hAnsi="Palatino Linotype" w:cstheme="minorHAnsi"/>
          <w:sz w:val="24"/>
          <w:szCs w:val="24"/>
        </w:rPr>
        <w:t xml:space="preserve"> (riportati nella tabella</w:t>
      </w:r>
      <w:r w:rsidR="007821F8" w:rsidRPr="00D24032">
        <w:rPr>
          <w:rFonts w:ascii="Palatino Linotype" w:hAnsi="Palatino Linotype" w:cstheme="minorHAnsi"/>
          <w:sz w:val="24"/>
          <w:szCs w:val="24"/>
        </w:rPr>
        <w:t xml:space="preserve"> che segue</w:t>
      </w:r>
      <w:r w:rsidR="00FA3B3E" w:rsidRPr="00D24032">
        <w:rPr>
          <w:rFonts w:ascii="Palatino Linotype" w:hAnsi="Palatino Linotype" w:cstheme="minorHAnsi"/>
          <w:sz w:val="24"/>
          <w:szCs w:val="24"/>
        </w:rPr>
        <w:t>)</w:t>
      </w:r>
      <w:r w:rsidR="007E6280" w:rsidRPr="00D24032">
        <w:rPr>
          <w:rFonts w:ascii="Palatino Linotype" w:hAnsi="Palatino Linotype" w:cstheme="minorHAnsi"/>
          <w:sz w:val="24"/>
          <w:szCs w:val="24"/>
        </w:rPr>
        <w:t>.</w:t>
      </w:r>
      <w:r w:rsidR="00216D2A" w:rsidRPr="00D24032">
        <w:rPr>
          <w:rFonts w:ascii="Palatino Linotype" w:hAnsi="Palatino Linotype" w:cstheme="minorHAnsi"/>
          <w:sz w:val="24"/>
          <w:szCs w:val="24"/>
        </w:rPr>
        <w:t xml:space="preserve"> </w:t>
      </w:r>
      <w:r w:rsidR="00A337F9" w:rsidRPr="00D24032">
        <w:rPr>
          <w:rFonts w:ascii="Palatino Linotype" w:hAnsi="Palatino Linotype" w:cstheme="minorHAnsi"/>
          <w:sz w:val="24"/>
          <w:szCs w:val="24"/>
        </w:rPr>
        <w:t>Pertanto,</w:t>
      </w:r>
      <w:r w:rsidR="00216D2A" w:rsidRPr="00D24032">
        <w:rPr>
          <w:rFonts w:ascii="Palatino Linotype" w:hAnsi="Palatino Linotype" w:cstheme="minorHAnsi"/>
          <w:sz w:val="24"/>
          <w:szCs w:val="24"/>
        </w:rPr>
        <w:t xml:space="preserve"> s</w:t>
      </w:r>
      <w:r w:rsidR="00082B12" w:rsidRPr="00D24032">
        <w:rPr>
          <w:rFonts w:ascii="Palatino Linotype" w:hAnsi="Palatino Linotype" w:cstheme="minorHAnsi"/>
          <w:sz w:val="24"/>
          <w:szCs w:val="24"/>
        </w:rPr>
        <w:t>i osserva</w:t>
      </w:r>
      <w:r w:rsidR="0017124E" w:rsidRPr="00D24032">
        <w:rPr>
          <w:rFonts w:ascii="Palatino Linotype" w:hAnsi="Palatino Linotype" w:cstheme="minorHAnsi"/>
          <w:sz w:val="24"/>
          <w:szCs w:val="24"/>
        </w:rPr>
        <w:t xml:space="preserve"> il rispetto totale</w:t>
      </w:r>
      <w:r w:rsidR="00CC7171" w:rsidRPr="00D24032">
        <w:rPr>
          <w:rFonts w:ascii="Palatino Linotype" w:hAnsi="Palatino Linotype" w:cstheme="minorHAnsi"/>
          <w:sz w:val="24"/>
          <w:szCs w:val="24"/>
        </w:rPr>
        <w:t xml:space="preserve"> </w:t>
      </w:r>
      <w:r w:rsidR="00A14609" w:rsidRPr="00D24032">
        <w:rPr>
          <w:rFonts w:ascii="Palatino Linotype" w:hAnsi="Palatino Linotype" w:cstheme="minorHAnsi"/>
          <w:sz w:val="24"/>
          <w:szCs w:val="24"/>
        </w:rPr>
        <w:t xml:space="preserve">dei valori attesi per ciascun </w:t>
      </w:r>
      <w:r w:rsidR="00CC7171" w:rsidRPr="00D24032">
        <w:rPr>
          <w:rFonts w:ascii="Palatino Linotype" w:hAnsi="Palatino Linotype" w:cstheme="minorHAnsi"/>
          <w:sz w:val="24"/>
          <w:szCs w:val="24"/>
        </w:rPr>
        <w:t>indicator</w:t>
      </w:r>
      <w:r w:rsidR="00A14609" w:rsidRPr="00D24032">
        <w:rPr>
          <w:rFonts w:ascii="Palatino Linotype" w:hAnsi="Palatino Linotype" w:cstheme="minorHAnsi"/>
          <w:sz w:val="24"/>
          <w:szCs w:val="24"/>
        </w:rPr>
        <w:t>e</w:t>
      </w:r>
      <w:r w:rsidR="0017124E" w:rsidRPr="00D24032">
        <w:rPr>
          <w:rFonts w:ascii="Palatino Linotype" w:hAnsi="Palatino Linotype" w:cstheme="minorHAnsi"/>
          <w:sz w:val="24"/>
          <w:szCs w:val="24"/>
        </w:rPr>
        <w:t xml:space="preserve"> </w:t>
      </w:r>
      <w:r w:rsidR="00A14609" w:rsidRPr="00D24032">
        <w:rPr>
          <w:rFonts w:ascii="Palatino Linotype" w:hAnsi="Palatino Linotype" w:cstheme="minorHAnsi"/>
          <w:sz w:val="24"/>
          <w:szCs w:val="24"/>
        </w:rPr>
        <w:t>contrattuale.</w:t>
      </w:r>
    </w:p>
    <w:p w14:paraId="6D8252EB" w14:textId="7C47331A" w:rsidR="00774E77" w:rsidRPr="00D24032" w:rsidRDefault="00774E77" w:rsidP="00C10F38">
      <w:pPr>
        <w:jc w:val="both"/>
        <w:rPr>
          <w:rFonts w:ascii="Palatino Linotype" w:hAnsi="Palatino Linotype" w:cstheme="minorHAnsi"/>
          <w:sz w:val="24"/>
          <w:szCs w:val="24"/>
          <w:highlight w:val="yellow"/>
        </w:rPr>
      </w:pPr>
    </w:p>
    <w:p w14:paraId="2B4C014B" w14:textId="589793DD" w:rsidR="00CD5F26" w:rsidRPr="00D24032" w:rsidRDefault="00AD41CB" w:rsidP="00C10F38">
      <w:pPr>
        <w:jc w:val="both"/>
        <w:rPr>
          <w:rFonts w:ascii="Palatino Linotype" w:hAnsi="Palatino Linotype" w:cstheme="minorHAnsi"/>
          <w:sz w:val="24"/>
          <w:szCs w:val="24"/>
        </w:rPr>
      </w:pPr>
      <w:r w:rsidRPr="00D24032">
        <w:rPr>
          <w:rFonts w:ascii="Palatino Linotype" w:hAnsi="Palatino Linotype" w:cstheme="minorHAnsi"/>
          <w:sz w:val="24"/>
          <w:szCs w:val="24"/>
        </w:rPr>
        <w:t xml:space="preserve">Di seguito vengono riportati </w:t>
      </w:r>
      <w:r w:rsidRPr="00D24032">
        <w:rPr>
          <w:rFonts w:ascii="Palatino Linotype" w:hAnsi="Palatino Linotype" w:cstheme="minorHAnsi"/>
          <w:b/>
          <w:bCs/>
          <w:sz w:val="24"/>
          <w:szCs w:val="24"/>
        </w:rPr>
        <w:t>i pr</w:t>
      </w:r>
      <w:r w:rsidR="00E11D82" w:rsidRPr="00D24032">
        <w:rPr>
          <w:rFonts w:ascii="Palatino Linotype" w:hAnsi="Palatino Linotype" w:cstheme="minorHAnsi"/>
          <w:b/>
          <w:bCs/>
          <w:sz w:val="24"/>
          <w:szCs w:val="24"/>
        </w:rPr>
        <w:t xml:space="preserve">incipali </w:t>
      </w:r>
      <w:r w:rsidR="007A38E5" w:rsidRPr="00D24032">
        <w:rPr>
          <w:rFonts w:ascii="Palatino Linotype" w:hAnsi="Palatino Linotype" w:cstheme="minorHAnsi"/>
          <w:b/>
          <w:bCs/>
          <w:sz w:val="24"/>
          <w:szCs w:val="24"/>
        </w:rPr>
        <w:t>KPI</w:t>
      </w:r>
      <w:r w:rsidR="00E11D82" w:rsidRPr="00D24032">
        <w:rPr>
          <w:rFonts w:ascii="Palatino Linotype" w:hAnsi="Palatino Linotype" w:cstheme="minorHAnsi"/>
          <w:sz w:val="24"/>
          <w:szCs w:val="24"/>
        </w:rPr>
        <w:t xml:space="preserve"> che sono stati monitorati durante il corso</w:t>
      </w:r>
      <w:r w:rsidR="00A75944" w:rsidRPr="00D24032">
        <w:rPr>
          <w:rFonts w:ascii="Palatino Linotype" w:hAnsi="Palatino Linotype" w:cstheme="minorHAnsi"/>
          <w:sz w:val="24"/>
          <w:szCs w:val="24"/>
        </w:rPr>
        <w:t xml:space="preserve"> del 2024</w:t>
      </w:r>
      <w:r w:rsidR="00845745" w:rsidRPr="00D24032">
        <w:rPr>
          <w:rFonts w:ascii="Palatino Linotype" w:hAnsi="Palatino Linotype" w:cstheme="minorHAnsi"/>
          <w:sz w:val="24"/>
          <w:szCs w:val="24"/>
        </w:rPr>
        <w:t>-2025</w:t>
      </w:r>
      <w:r w:rsidR="00E11D82" w:rsidRPr="00D24032">
        <w:rPr>
          <w:rFonts w:ascii="Palatino Linotype" w:hAnsi="Palatino Linotype" w:cstheme="minorHAnsi"/>
          <w:sz w:val="24"/>
          <w:szCs w:val="24"/>
        </w:rPr>
        <w:t>:</w:t>
      </w:r>
    </w:p>
    <w:p w14:paraId="6F06DBC4" w14:textId="77777777" w:rsidR="00094805" w:rsidRPr="00D24032" w:rsidRDefault="00094805" w:rsidP="00E11D82">
      <w:pPr>
        <w:jc w:val="both"/>
        <w:rPr>
          <w:rFonts w:ascii="Palatino Linotype" w:hAnsi="Palatino Linotype" w:cstheme="minorHAnsi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2"/>
        <w:gridCol w:w="6668"/>
      </w:tblGrid>
      <w:tr w:rsidR="00094805" w:rsidRPr="00D24032" w14:paraId="753AF128" w14:textId="77777777" w:rsidTr="003D58A0">
        <w:tc>
          <w:tcPr>
            <w:tcW w:w="2682" w:type="dxa"/>
            <w:shd w:val="clear" w:color="auto" w:fill="D5DCE4" w:themeFill="text2" w:themeFillTint="33"/>
          </w:tcPr>
          <w:p w14:paraId="49898227" w14:textId="77777777" w:rsidR="00094805" w:rsidRPr="00D24032" w:rsidRDefault="00094805">
            <w:pPr>
              <w:pStyle w:val="Corpotesto"/>
              <w:spacing w:before="87" w:line="259" w:lineRule="auto"/>
              <w:jc w:val="both"/>
              <w:rPr>
                <w:rFonts w:ascii="Palatino Linotype" w:hAnsi="Palatino Linotype" w:cstheme="minorHAnsi"/>
                <w:b/>
                <w:bCs/>
                <w:lang w:val="it-IT"/>
              </w:rPr>
            </w:pPr>
            <w:r w:rsidRPr="00D24032">
              <w:rPr>
                <w:rFonts w:ascii="Palatino Linotype" w:hAnsi="Palatino Linotype" w:cstheme="minorHAnsi"/>
                <w:b/>
                <w:bCs/>
                <w:lang w:val="it-IT"/>
              </w:rPr>
              <w:t>Servizio Monitorato</w:t>
            </w:r>
          </w:p>
        </w:tc>
        <w:tc>
          <w:tcPr>
            <w:tcW w:w="6668" w:type="dxa"/>
            <w:shd w:val="clear" w:color="auto" w:fill="D5DCE4" w:themeFill="text2" w:themeFillTint="33"/>
          </w:tcPr>
          <w:p w14:paraId="3B52DED2" w14:textId="77777777" w:rsidR="00094805" w:rsidRPr="00D24032" w:rsidRDefault="00094805">
            <w:pPr>
              <w:pStyle w:val="Corpotesto"/>
              <w:spacing w:before="87" w:line="259" w:lineRule="auto"/>
              <w:jc w:val="both"/>
              <w:rPr>
                <w:rFonts w:ascii="Palatino Linotype" w:hAnsi="Palatino Linotype" w:cstheme="minorHAnsi"/>
                <w:b/>
                <w:bCs/>
                <w:lang w:val="it-IT"/>
              </w:rPr>
            </w:pPr>
            <w:r w:rsidRPr="00D24032">
              <w:rPr>
                <w:rFonts w:ascii="Palatino Linotype" w:hAnsi="Palatino Linotype" w:cstheme="minorHAnsi"/>
                <w:b/>
                <w:bCs/>
                <w:lang w:val="it-IT"/>
              </w:rPr>
              <w:t>Descrizione Indicatore</w:t>
            </w:r>
          </w:p>
        </w:tc>
      </w:tr>
      <w:tr w:rsidR="002C23E6" w:rsidRPr="00D24032" w14:paraId="10B86CAE" w14:textId="77777777" w:rsidTr="00936DE4"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93516" w14:textId="4B60A683" w:rsidR="002C23E6" w:rsidRPr="00D24032" w:rsidRDefault="002C23E6" w:rsidP="002C23E6">
            <w:pPr>
              <w:pStyle w:val="Corpotesto"/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D24032">
              <w:rPr>
                <w:rStyle w:val="normaltextrun"/>
                <w:rFonts w:ascii="Palatino Linotype" w:hAnsi="Palatino Linotype"/>
                <w:lang w:val="it-IT"/>
              </w:rPr>
              <w:t>Servizi di consegna e manutenzione dei prodotti software</w:t>
            </w:r>
            <w:r w:rsidRPr="00D24032">
              <w:rPr>
                <w:rStyle w:val="eop"/>
                <w:rFonts w:ascii="Palatino Linotype" w:hAnsi="Palatino Linotype"/>
                <w:lang w:val="it-IT"/>
              </w:rPr>
              <w:t> </w:t>
            </w:r>
          </w:p>
        </w:tc>
        <w:tc>
          <w:tcPr>
            <w:tcW w:w="6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0D43F" w14:textId="77777777" w:rsidR="002C23E6" w:rsidRPr="00D24032" w:rsidRDefault="002C23E6" w:rsidP="002C23E6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divId w:val="1884979171"/>
              <w:rPr>
                <w:rFonts w:ascii="Palatino Linotype" w:hAnsi="Palatino Linotype"/>
                <w:lang w:val="it-IT"/>
              </w:rPr>
            </w:pPr>
            <w:r w:rsidRPr="00D24032">
              <w:rPr>
                <w:rStyle w:val="normaltextrun"/>
                <w:rFonts w:ascii="Palatino Linotype" w:hAnsi="Palatino Linotype"/>
                <w:lang w:val="it-IT"/>
              </w:rPr>
              <w:t>RTCCASO – Rispetto dei tempi contrattuali di consegna (per singolo ordine)</w:t>
            </w:r>
            <w:r w:rsidRPr="00D24032">
              <w:rPr>
                <w:rStyle w:val="eop"/>
                <w:rFonts w:ascii="Palatino Linotype" w:hAnsi="Palatino Linotype"/>
                <w:lang w:val="it-IT"/>
              </w:rPr>
              <w:t> </w:t>
            </w:r>
          </w:p>
          <w:p w14:paraId="2BEB182E" w14:textId="77777777" w:rsidR="002C23E6" w:rsidRPr="00D24032" w:rsidRDefault="002C23E6" w:rsidP="002C23E6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divId w:val="1884979171"/>
              <w:rPr>
                <w:rFonts w:ascii="Palatino Linotype" w:hAnsi="Palatino Linotype"/>
                <w:lang w:val="it-IT"/>
              </w:rPr>
            </w:pPr>
            <w:r w:rsidRPr="00D24032">
              <w:rPr>
                <w:rStyle w:val="normaltextrun"/>
                <w:rFonts w:ascii="Palatino Linotype" w:hAnsi="Palatino Linotype"/>
                <w:lang w:val="it-IT"/>
              </w:rPr>
              <w:t>COV – Conformità degli ordinativi verificati</w:t>
            </w:r>
            <w:r w:rsidRPr="00D24032">
              <w:rPr>
                <w:rStyle w:val="eop"/>
                <w:rFonts w:ascii="Palatino Linotype" w:hAnsi="Palatino Linotype"/>
                <w:lang w:val="it-IT"/>
              </w:rPr>
              <w:t> </w:t>
            </w:r>
          </w:p>
          <w:p w14:paraId="5F065359" w14:textId="750B6563" w:rsidR="002C23E6" w:rsidRPr="00D24032" w:rsidRDefault="002C23E6" w:rsidP="002C23E6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D24032">
              <w:rPr>
                <w:rStyle w:val="normaltextrun"/>
                <w:rFonts w:ascii="Palatino Linotype" w:hAnsi="Palatino Linotype"/>
                <w:lang w:val="it-IT"/>
              </w:rPr>
              <w:t>RTCVC – Rispetto dei tempi contrattuali di consegna dei prodotti oggetto di verifica negativa</w:t>
            </w:r>
            <w:r w:rsidRPr="00D24032">
              <w:rPr>
                <w:rStyle w:val="eop"/>
                <w:rFonts w:ascii="Palatino Linotype" w:hAnsi="Palatino Linotype"/>
                <w:lang w:val="it-IT"/>
              </w:rPr>
              <w:t> </w:t>
            </w:r>
          </w:p>
        </w:tc>
      </w:tr>
      <w:tr w:rsidR="002C23E6" w:rsidRPr="00D24032" w14:paraId="6AC6B7F2" w14:textId="77777777" w:rsidTr="00936DE4"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7A085" w14:textId="55E0DC3C" w:rsidR="002C23E6" w:rsidRPr="00D24032" w:rsidRDefault="002C23E6" w:rsidP="002C23E6">
            <w:pPr>
              <w:pStyle w:val="Corpotesto"/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D24032">
              <w:rPr>
                <w:rStyle w:val="normaltextrun"/>
                <w:rFonts w:ascii="Palatino Linotype" w:hAnsi="Palatino Linotype"/>
                <w:lang w:val="it-IT"/>
              </w:rPr>
              <w:t>Servizio di Contact Center</w:t>
            </w:r>
            <w:r w:rsidRPr="00D24032">
              <w:rPr>
                <w:rStyle w:val="eop"/>
                <w:rFonts w:ascii="Palatino Linotype" w:hAnsi="Palatino Linotype"/>
                <w:lang w:val="it-IT"/>
              </w:rPr>
              <w:t> </w:t>
            </w:r>
          </w:p>
        </w:tc>
        <w:tc>
          <w:tcPr>
            <w:tcW w:w="6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D8E82" w14:textId="77777777" w:rsidR="002C23E6" w:rsidRPr="00D24032" w:rsidRDefault="002C23E6" w:rsidP="002C23E6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divId w:val="357968955"/>
              <w:rPr>
                <w:rFonts w:ascii="Palatino Linotype" w:hAnsi="Palatino Linotype"/>
                <w:lang w:val="it-IT"/>
              </w:rPr>
            </w:pPr>
            <w:r w:rsidRPr="00D24032">
              <w:rPr>
                <w:rStyle w:val="normaltextrun"/>
                <w:rFonts w:ascii="Palatino Linotype" w:hAnsi="Palatino Linotype"/>
                <w:lang w:val="it-IT"/>
              </w:rPr>
              <w:t>Disponibilità del servizio</w:t>
            </w:r>
            <w:r w:rsidRPr="00D24032">
              <w:rPr>
                <w:rStyle w:val="eop"/>
                <w:rFonts w:ascii="Palatino Linotype" w:hAnsi="Palatino Linotype"/>
                <w:lang w:val="it-IT"/>
              </w:rPr>
              <w:t> </w:t>
            </w:r>
          </w:p>
          <w:p w14:paraId="419101B2" w14:textId="77777777" w:rsidR="002C23E6" w:rsidRPr="00D24032" w:rsidRDefault="002C23E6" w:rsidP="002C23E6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divId w:val="357968955"/>
              <w:rPr>
                <w:rFonts w:ascii="Palatino Linotype" w:hAnsi="Palatino Linotype"/>
                <w:lang w:val="it-IT"/>
              </w:rPr>
            </w:pPr>
            <w:r w:rsidRPr="00D24032">
              <w:rPr>
                <w:rStyle w:val="normaltextrun"/>
                <w:rFonts w:ascii="Palatino Linotype" w:hAnsi="Palatino Linotype"/>
                <w:lang w:val="it-IT"/>
              </w:rPr>
              <w:t>TRCT – Tempestività di risposta alle chiamate telefoniche</w:t>
            </w:r>
            <w:r w:rsidRPr="00D24032">
              <w:rPr>
                <w:rStyle w:val="eop"/>
                <w:rFonts w:ascii="Palatino Linotype" w:hAnsi="Palatino Linotype"/>
                <w:lang w:val="it-IT"/>
              </w:rPr>
              <w:t> </w:t>
            </w:r>
          </w:p>
          <w:p w14:paraId="4E95FAE3" w14:textId="72FAD5CA" w:rsidR="002C23E6" w:rsidRPr="00D24032" w:rsidRDefault="002C23E6" w:rsidP="002C23E6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D24032">
              <w:rPr>
                <w:rStyle w:val="normaltextrun"/>
                <w:rFonts w:ascii="Palatino Linotype" w:hAnsi="Palatino Linotype"/>
                <w:lang w:val="it-IT"/>
              </w:rPr>
              <w:t>CTP – Chiamate telefoniche perdute</w:t>
            </w:r>
            <w:r w:rsidRPr="00D24032">
              <w:rPr>
                <w:rStyle w:val="eop"/>
                <w:rFonts w:ascii="Palatino Linotype" w:hAnsi="Palatino Linotype"/>
                <w:lang w:val="it-IT"/>
              </w:rPr>
              <w:t> </w:t>
            </w:r>
          </w:p>
        </w:tc>
      </w:tr>
    </w:tbl>
    <w:p w14:paraId="52B1D55E" w14:textId="77777777" w:rsidR="00BA32A7" w:rsidRPr="00D24032" w:rsidRDefault="00BA32A7" w:rsidP="00A2201D">
      <w:pPr>
        <w:pStyle w:val="Corpotesto"/>
        <w:spacing w:before="87" w:line="259" w:lineRule="auto"/>
        <w:ind w:hanging="11"/>
        <w:jc w:val="both"/>
        <w:rPr>
          <w:rFonts w:ascii="Palatino Linotype" w:hAnsi="Palatino Linotype" w:cstheme="minorHAnsi"/>
        </w:rPr>
      </w:pPr>
    </w:p>
    <w:p w14:paraId="34873FF3" w14:textId="58860FA0" w:rsidR="00046827" w:rsidRPr="00D24032" w:rsidRDefault="00046827" w:rsidP="00A2201D">
      <w:pPr>
        <w:pStyle w:val="Corpotesto"/>
        <w:spacing w:before="87" w:line="259" w:lineRule="auto"/>
        <w:ind w:hanging="11"/>
        <w:jc w:val="both"/>
        <w:rPr>
          <w:rFonts w:ascii="Palatino Linotype" w:hAnsi="Palatino Linotype" w:cstheme="minorHAnsi"/>
        </w:rPr>
      </w:pPr>
      <w:r w:rsidRPr="00D24032">
        <w:rPr>
          <w:rFonts w:ascii="Palatino Linotype" w:hAnsi="Palatino Linotype" w:cstheme="minorHAnsi"/>
        </w:rPr>
        <w:t>Di seguito, per maggiori dettagli</w:t>
      </w:r>
      <w:r w:rsidR="00F516A3" w:rsidRPr="00D24032">
        <w:rPr>
          <w:rFonts w:ascii="Palatino Linotype" w:hAnsi="Palatino Linotype" w:cstheme="minorHAnsi"/>
        </w:rPr>
        <w:t xml:space="preserve"> riguardo ai KPI </w:t>
      </w:r>
      <w:r w:rsidR="00E23844" w:rsidRPr="00D24032">
        <w:rPr>
          <w:rFonts w:ascii="Palatino Linotype" w:hAnsi="Palatino Linotype" w:cstheme="minorHAnsi"/>
        </w:rPr>
        <w:t>monitorati</w:t>
      </w:r>
      <w:r w:rsidR="00F516A3" w:rsidRPr="00D24032">
        <w:rPr>
          <w:rFonts w:ascii="Palatino Linotype" w:hAnsi="Palatino Linotype" w:cstheme="minorHAnsi"/>
        </w:rPr>
        <w:t>,</w:t>
      </w:r>
      <w:r w:rsidRPr="00D24032">
        <w:rPr>
          <w:rFonts w:ascii="Palatino Linotype" w:hAnsi="Palatino Linotype" w:cstheme="minorHAnsi"/>
        </w:rPr>
        <w:t xml:space="preserve"> è possibile consultare la tabella in allegato</w:t>
      </w:r>
      <w:r w:rsidR="00E23844" w:rsidRPr="00D24032">
        <w:rPr>
          <w:rFonts w:ascii="Palatino Linotype" w:hAnsi="Palatino Linotype" w:cstheme="minorHAnsi"/>
        </w:rPr>
        <w:t>.</w:t>
      </w:r>
    </w:p>
    <w:p w14:paraId="392EEEA5" w14:textId="55F70C7E" w:rsidR="00E23844" w:rsidRPr="00D24032" w:rsidRDefault="00BC464E" w:rsidP="00A2201D">
      <w:pPr>
        <w:pStyle w:val="Corpotesto"/>
        <w:spacing w:before="87" w:line="259" w:lineRule="auto"/>
        <w:ind w:hanging="11"/>
        <w:jc w:val="both"/>
        <w:rPr>
          <w:rFonts w:ascii="Palatino Linotype" w:hAnsi="Palatino Linotype" w:cstheme="minorHAnsi"/>
        </w:rPr>
      </w:pPr>
      <w:r w:rsidRPr="00D24032">
        <w:rPr>
          <w:rFonts w:ascii="Palatino Linotype" w:hAnsi="Palatino Linotype"/>
        </w:rPr>
        <w:object w:dxaOrig="1454" w:dyaOrig="941" w14:anchorId="3EE224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5pt;height:48pt" o:ole="">
            <v:imagedata r:id="rId12" o:title=""/>
          </v:shape>
          <o:OLEObject Type="Embed" ProgID="Excel.Sheet.12" ShapeID="_x0000_i1027" DrawAspect="Icon" ObjectID="_1819443557" r:id="rId13"/>
        </w:object>
      </w:r>
    </w:p>
    <w:p w14:paraId="5C166D9F" w14:textId="77777777" w:rsidR="00046827" w:rsidRPr="00D24032" w:rsidRDefault="00046827" w:rsidP="00A2201D">
      <w:pPr>
        <w:pStyle w:val="Corpotesto"/>
        <w:spacing w:before="87" w:line="259" w:lineRule="auto"/>
        <w:ind w:hanging="11"/>
        <w:jc w:val="both"/>
        <w:rPr>
          <w:rFonts w:ascii="Palatino Linotype" w:hAnsi="Palatino Linotype" w:cstheme="minorHAnsi"/>
        </w:rPr>
      </w:pPr>
    </w:p>
    <w:p w14:paraId="1BE82933" w14:textId="77777777" w:rsidR="00046827" w:rsidRPr="00D24032" w:rsidRDefault="00046827" w:rsidP="00A2201D">
      <w:pPr>
        <w:pStyle w:val="Corpotesto"/>
        <w:spacing w:before="87" w:line="259" w:lineRule="auto"/>
        <w:ind w:hanging="11"/>
        <w:jc w:val="both"/>
        <w:rPr>
          <w:rFonts w:ascii="Palatino Linotype" w:hAnsi="Palatino Linotype" w:cstheme="minorHAnsi"/>
        </w:rPr>
      </w:pPr>
    </w:p>
    <w:p w14:paraId="6918B5A3" w14:textId="77777777" w:rsidR="00EF458A" w:rsidRPr="00D24032" w:rsidRDefault="00EF458A" w:rsidP="64D1B613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Bidi"/>
          <w:b/>
          <w:bCs/>
          <w:color w:val="auto"/>
        </w:rPr>
      </w:pPr>
      <w:bookmarkStart w:id="10" w:name="_Toc128568883"/>
      <w:bookmarkStart w:id="11" w:name="_Toc193463742"/>
      <w:r w:rsidRPr="00D24032">
        <w:rPr>
          <w:rFonts w:ascii="Palatino Linotype" w:eastAsia="Times New Roman" w:hAnsi="Palatino Linotype" w:cstheme="minorBidi"/>
          <w:b/>
          <w:bCs/>
          <w:color w:val="auto"/>
        </w:rPr>
        <w:lastRenderedPageBreak/>
        <w:t>Eventuali innovazioni tecnologiche</w:t>
      </w:r>
      <w:bookmarkEnd w:id="10"/>
      <w:bookmarkEnd w:id="11"/>
    </w:p>
    <w:p w14:paraId="4D35EE4C" w14:textId="1931CB90" w:rsidR="00EF458A" w:rsidRPr="00D24032" w:rsidRDefault="000C2F43" w:rsidP="00EF458A">
      <w:pPr>
        <w:rPr>
          <w:rFonts w:ascii="Palatino Linotype" w:hAnsi="Palatino Linotype" w:cstheme="minorHAnsi"/>
          <w:sz w:val="24"/>
          <w:szCs w:val="24"/>
        </w:rPr>
      </w:pPr>
      <w:r w:rsidRPr="00D24032">
        <w:rPr>
          <w:rFonts w:ascii="Palatino Linotype" w:hAnsi="Palatino Linotype" w:cstheme="minorHAnsi"/>
          <w:sz w:val="24"/>
          <w:szCs w:val="24"/>
        </w:rPr>
        <w:t>N/A</w:t>
      </w:r>
    </w:p>
    <w:p w14:paraId="3B93D7E1" w14:textId="77777777" w:rsidR="003A39E1" w:rsidRPr="00D24032" w:rsidRDefault="003A39E1" w:rsidP="00EF458A">
      <w:pPr>
        <w:rPr>
          <w:rFonts w:ascii="Palatino Linotype" w:hAnsi="Palatino Linotype" w:cstheme="minorHAnsi"/>
        </w:rPr>
      </w:pPr>
    </w:p>
    <w:p w14:paraId="2903CAE7" w14:textId="77777777" w:rsidR="00EF458A" w:rsidRPr="00D24032" w:rsidRDefault="00EF458A" w:rsidP="64D1B613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Bidi"/>
          <w:b/>
          <w:bCs/>
          <w:color w:val="auto"/>
        </w:rPr>
      </w:pPr>
      <w:bookmarkStart w:id="12" w:name="_Toc128568884"/>
      <w:bookmarkStart w:id="13" w:name="_Toc193463743"/>
      <w:r w:rsidRPr="00D24032">
        <w:rPr>
          <w:rFonts w:ascii="Palatino Linotype" w:eastAsia="Times New Roman" w:hAnsi="Palatino Linotype" w:cstheme="minorBidi"/>
          <w:b/>
          <w:bCs/>
          <w:color w:val="auto"/>
        </w:rPr>
        <w:t>Aspetti della eventuale non conformità</w:t>
      </w:r>
      <w:bookmarkEnd w:id="12"/>
      <w:bookmarkEnd w:id="13"/>
    </w:p>
    <w:p w14:paraId="118BCBF9" w14:textId="6E0C96C6" w:rsidR="00EF458A" w:rsidRPr="00D24032" w:rsidRDefault="003A39E1" w:rsidP="00EF458A">
      <w:pPr>
        <w:rPr>
          <w:rFonts w:ascii="Palatino Linotype" w:hAnsi="Palatino Linotype" w:cstheme="minorHAnsi"/>
          <w:sz w:val="24"/>
          <w:szCs w:val="24"/>
        </w:rPr>
      </w:pPr>
      <w:r w:rsidRPr="00D24032">
        <w:rPr>
          <w:rFonts w:ascii="Palatino Linotype" w:hAnsi="Palatino Linotype" w:cstheme="minorHAnsi"/>
          <w:sz w:val="24"/>
          <w:szCs w:val="24"/>
        </w:rPr>
        <w:t>N/A</w:t>
      </w:r>
    </w:p>
    <w:p w14:paraId="5B88A450" w14:textId="77777777" w:rsidR="00EF458A" w:rsidRPr="00D24032" w:rsidRDefault="00EF458A" w:rsidP="00EF458A">
      <w:pPr>
        <w:jc w:val="both"/>
        <w:rPr>
          <w:rFonts w:ascii="Palatino Linotype" w:hAnsi="Palatino Linotype" w:cstheme="minorHAnsi"/>
          <w:sz w:val="24"/>
          <w:szCs w:val="24"/>
        </w:rPr>
      </w:pPr>
    </w:p>
    <w:p w14:paraId="24146715" w14:textId="77777777" w:rsidR="00EF458A" w:rsidRPr="00D24032" w:rsidRDefault="00EF458A" w:rsidP="64D1B613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Bidi"/>
          <w:b/>
          <w:bCs/>
          <w:color w:val="auto"/>
        </w:rPr>
      </w:pPr>
      <w:bookmarkStart w:id="14" w:name="_Toc128568885"/>
      <w:bookmarkStart w:id="15" w:name="_Toc193463744"/>
      <w:r w:rsidRPr="00D24032">
        <w:rPr>
          <w:rFonts w:ascii="Palatino Linotype" w:eastAsia="Times New Roman" w:hAnsi="Palatino Linotype" w:cstheme="minorBidi"/>
          <w:b/>
          <w:bCs/>
          <w:color w:val="auto"/>
        </w:rPr>
        <w:t>Indicazioni per la Governance</w:t>
      </w:r>
      <w:bookmarkEnd w:id="14"/>
      <w:bookmarkEnd w:id="15"/>
    </w:p>
    <w:p w14:paraId="09F0B5DD" w14:textId="3210BE75" w:rsidR="000F58E5" w:rsidRPr="00D24032" w:rsidRDefault="002A0ED0" w:rsidP="00325689">
      <w:pPr>
        <w:jc w:val="both"/>
        <w:rPr>
          <w:rFonts w:ascii="Palatino Linotype" w:hAnsi="Palatino Linotype" w:cstheme="minorHAnsi"/>
          <w:sz w:val="24"/>
          <w:szCs w:val="24"/>
        </w:rPr>
      </w:pPr>
      <w:r w:rsidRPr="00D24032">
        <w:rPr>
          <w:rFonts w:ascii="Palatino Linotype" w:hAnsi="Palatino Linotype" w:cstheme="minorHAnsi"/>
          <w:sz w:val="24"/>
          <w:szCs w:val="24"/>
        </w:rPr>
        <w:t>N/A</w:t>
      </w:r>
    </w:p>
    <w:sectPr w:rsidR="000F58E5" w:rsidRPr="00D24032" w:rsidSect="00810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25C78" w14:textId="77777777" w:rsidR="009023E5" w:rsidRDefault="009023E5" w:rsidP="00F53C03">
      <w:r>
        <w:separator/>
      </w:r>
    </w:p>
  </w:endnote>
  <w:endnote w:type="continuationSeparator" w:id="0">
    <w:p w14:paraId="1ECD80D9" w14:textId="77777777" w:rsidR="009023E5" w:rsidRDefault="009023E5" w:rsidP="00F53C03">
      <w:r>
        <w:continuationSeparator/>
      </w:r>
    </w:p>
  </w:endnote>
  <w:endnote w:type="continuationNotice" w:id="1">
    <w:p w14:paraId="1BE84FBF" w14:textId="77777777" w:rsidR="009023E5" w:rsidRDefault="009023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Kunstler Script">
    <w:charset w:val="00"/>
    <w:family w:val="script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27147" w14:textId="77777777" w:rsidR="009023E5" w:rsidRDefault="009023E5" w:rsidP="00F53C03">
      <w:r>
        <w:separator/>
      </w:r>
    </w:p>
  </w:footnote>
  <w:footnote w:type="continuationSeparator" w:id="0">
    <w:p w14:paraId="185D44DF" w14:textId="77777777" w:rsidR="009023E5" w:rsidRDefault="009023E5" w:rsidP="00F53C03">
      <w:r>
        <w:continuationSeparator/>
      </w:r>
    </w:p>
  </w:footnote>
  <w:footnote w:type="continuationNotice" w:id="1">
    <w:p w14:paraId="0F1B708C" w14:textId="77777777" w:rsidR="009023E5" w:rsidRDefault="009023E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41FC1"/>
    <w:multiLevelType w:val="hybridMultilevel"/>
    <w:tmpl w:val="E6BA23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212B0"/>
    <w:multiLevelType w:val="multilevel"/>
    <w:tmpl w:val="1C344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46855A4"/>
    <w:multiLevelType w:val="hybridMultilevel"/>
    <w:tmpl w:val="52D897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39375A"/>
    <w:multiLevelType w:val="hybridMultilevel"/>
    <w:tmpl w:val="8CD659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A4758"/>
    <w:multiLevelType w:val="hybridMultilevel"/>
    <w:tmpl w:val="569CF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E09BC"/>
    <w:multiLevelType w:val="hybridMultilevel"/>
    <w:tmpl w:val="665AF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06018C"/>
    <w:multiLevelType w:val="hybridMultilevel"/>
    <w:tmpl w:val="9D204A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2C4003"/>
    <w:multiLevelType w:val="hybridMultilevel"/>
    <w:tmpl w:val="C8AAB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8F236F"/>
    <w:multiLevelType w:val="hybridMultilevel"/>
    <w:tmpl w:val="47469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1A4C5E"/>
    <w:multiLevelType w:val="hybridMultilevel"/>
    <w:tmpl w:val="09D22D62"/>
    <w:lvl w:ilvl="0" w:tplc="0410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0" w15:restartNumberingAfterBreak="0">
    <w:nsid w:val="457F5DAE"/>
    <w:multiLevelType w:val="hybridMultilevel"/>
    <w:tmpl w:val="491AF152"/>
    <w:lvl w:ilvl="0" w:tplc="50DEE0A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5561D7"/>
    <w:multiLevelType w:val="hybridMultilevel"/>
    <w:tmpl w:val="1B3E9A0A"/>
    <w:lvl w:ilvl="0" w:tplc="50DEE0A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C6CD2"/>
    <w:multiLevelType w:val="hybridMultilevel"/>
    <w:tmpl w:val="E7880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9C6CD1"/>
    <w:multiLevelType w:val="hybridMultilevel"/>
    <w:tmpl w:val="93F20E3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D3943CD"/>
    <w:multiLevelType w:val="hybridMultilevel"/>
    <w:tmpl w:val="7E0E84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5673DD"/>
    <w:multiLevelType w:val="hybridMultilevel"/>
    <w:tmpl w:val="725E1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961CFE"/>
    <w:multiLevelType w:val="hybridMultilevel"/>
    <w:tmpl w:val="EDFA2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F00558"/>
    <w:multiLevelType w:val="hybridMultilevel"/>
    <w:tmpl w:val="7F6010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AF06B9"/>
    <w:multiLevelType w:val="hybridMultilevel"/>
    <w:tmpl w:val="14E61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DD5CA5"/>
    <w:multiLevelType w:val="hybridMultilevel"/>
    <w:tmpl w:val="D6563F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5A0B06"/>
    <w:multiLevelType w:val="multilevel"/>
    <w:tmpl w:val="0A40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B34347A"/>
    <w:multiLevelType w:val="hybridMultilevel"/>
    <w:tmpl w:val="8C5E9E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395EB9"/>
    <w:multiLevelType w:val="hybridMultilevel"/>
    <w:tmpl w:val="2DEAC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B11654"/>
    <w:multiLevelType w:val="hybridMultilevel"/>
    <w:tmpl w:val="AD38E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2C6ED5"/>
    <w:multiLevelType w:val="hybridMultilevel"/>
    <w:tmpl w:val="6332F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253A0E"/>
    <w:multiLevelType w:val="hybridMultilevel"/>
    <w:tmpl w:val="B3FC4C26"/>
    <w:lvl w:ilvl="0" w:tplc="0410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26" w15:restartNumberingAfterBreak="0">
    <w:nsid w:val="69926649"/>
    <w:multiLevelType w:val="hybridMultilevel"/>
    <w:tmpl w:val="7340E2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447828"/>
    <w:multiLevelType w:val="multilevel"/>
    <w:tmpl w:val="255ECC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8" w15:restartNumberingAfterBreak="0">
    <w:nsid w:val="75E228B9"/>
    <w:multiLevelType w:val="hybridMultilevel"/>
    <w:tmpl w:val="D138C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6A53CF"/>
    <w:multiLevelType w:val="hybridMultilevel"/>
    <w:tmpl w:val="94C02D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4453348">
    <w:abstractNumId w:val="27"/>
  </w:num>
  <w:num w:numId="2" w16cid:durableId="730468044">
    <w:abstractNumId w:val="24"/>
  </w:num>
  <w:num w:numId="3" w16cid:durableId="1397628767">
    <w:abstractNumId w:val="8"/>
  </w:num>
  <w:num w:numId="4" w16cid:durableId="2025861099">
    <w:abstractNumId w:val="17"/>
  </w:num>
  <w:num w:numId="5" w16cid:durableId="67192426">
    <w:abstractNumId w:val="6"/>
  </w:num>
  <w:num w:numId="6" w16cid:durableId="651446131">
    <w:abstractNumId w:val="12"/>
  </w:num>
  <w:num w:numId="7" w16cid:durableId="537207877">
    <w:abstractNumId w:val="11"/>
  </w:num>
  <w:num w:numId="8" w16cid:durableId="1766222683">
    <w:abstractNumId w:val="10"/>
  </w:num>
  <w:num w:numId="9" w16cid:durableId="419300383">
    <w:abstractNumId w:val="21"/>
  </w:num>
  <w:num w:numId="10" w16cid:durableId="773593618">
    <w:abstractNumId w:val="19"/>
  </w:num>
  <w:num w:numId="11" w16cid:durableId="1433744476">
    <w:abstractNumId w:val="28"/>
  </w:num>
  <w:num w:numId="12" w16cid:durableId="390156048">
    <w:abstractNumId w:val="14"/>
  </w:num>
  <w:num w:numId="13" w16cid:durableId="148599305">
    <w:abstractNumId w:val="0"/>
  </w:num>
  <w:num w:numId="14" w16cid:durableId="1174875300">
    <w:abstractNumId w:val="7"/>
  </w:num>
  <w:num w:numId="15" w16cid:durableId="670062884">
    <w:abstractNumId w:val="29"/>
  </w:num>
  <w:num w:numId="16" w16cid:durableId="1210606142">
    <w:abstractNumId w:val="4"/>
  </w:num>
  <w:num w:numId="17" w16cid:durableId="2085372717">
    <w:abstractNumId w:val="15"/>
  </w:num>
  <w:num w:numId="18" w16cid:durableId="360134641">
    <w:abstractNumId w:val="26"/>
  </w:num>
  <w:num w:numId="19" w16cid:durableId="2044744077">
    <w:abstractNumId w:val="13"/>
  </w:num>
  <w:num w:numId="20" w16cid:durableId="117336913">
    <w:abstractNumId w:val="18"/>
  </w:num>
  <w:num w:numId="21" w16cid:durableId="1024944453">
    <w:abstractNumId w:val="5"/>
  </w:num>
  <w:num w:numId="22" w16cid:durableId="528224278">
    <w:abstractNumId w:val="16"/>
  </w:num>
  <w:num w:numId="23" w16cid:durableId="532377242">
    <w:abstractNumId w:val="22"/>
  </w:num>
  <w:num w:numId="24" w16cid:durableId="1466896253">
    <w:abstractNumId w:val="1"/>
  </w:num>
  <w:num w:numId="25" w16cid:durableId="1646813329">
    <w:abstractNumId w:val="20"/>
  </w:num>
  <w:num w:numId="26" w16cid:durableId="599993916">
    <w:abstractNumId w:val="23"/>
  </w:num>
  <w:num w:numId="27" w16cid:durableId="55082922">
    <w:abstractNumId w:val="9"/>
  </w:num>
  <w:num w:numId="28" w16cid:durableId="2112436111">
    <w:abstractNumId w:val="3"/>
  </w:num>
  <w:num w:numId="29" w16cid:durableId="1878617471">
    <w:abstractNumId w:val="25"/>
  </w:num>
  <w:num w:numId="30" w16cid:durableId="11626246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B57"/>
    <w:rsid w:val="0000165D"/>
    <w:rsid w:val="00001DA1"/>
    <w:rsid w:val="00002951"/>
    <w:rsid w:val="000031BA"/>
    <w:rsid w:val="000032D6"/>
    <w:rsid w:val="000102AD"/>
    <w:rsid w:val="000103B4"/>
    <w:rsid w:val="00011FBF"/>
    <w:rsid w:val="00014AB9"/>
    <w:rsid w:val="0001513F"/>
    <w:rsid w:val="000176E2"/>
    <w:rsid w:val="000262C1"/>
    <w:rsid w:val="00036EA8"/>
    <w:rsid w:val="000370E2"/>
    <w:rsid w:val="000416F6"/>
    <w:rsid w:val="00042111"/>
    <w:rsid w:val="00042BFC"/>
    <w:rsid w:val="00043C4D"/>
    <w:rsid w:val="00046827"/>
    <w:rsid w:val="00046BB0"/>
    <w:rsid w:val="00050773"/>
    <w:rsid w:val="0005569E"/>
    <w:rsid w:val="0006258E"/>
    <w:rsid w:val="00064430"/>
    <w:rsid w:val="00064A36"/>
    <w:rsid w:val="00066367"/>
    <w:rsid w:val="000707D8"/>
    <w:rsid w:val="00072401"/>
    <w:rsid w:val="00072E84"/>
    <w:rsid w:val="000746BA"/>
    <w:rsid w:val="00074F23"/>
    <w:rsid w:val="0007577D"/>
    <w:rsid w:val="000815E1"/>
    <w:rsid w:val="00082B12"/>
    <w:rsid w:val="000876D7"/>
    <w:rsid w:val="00090D2E"/>
    <w:rsid w:val="00094805"/>
    <w:rsid w:val="00095C08"/>
    <w:rsid w:val="00096066"/>
    <w:rsid w:val="000A485A"/>
    <w:rsid w:val="000A642F"/>
    <w:rsid w:val="000A7045"/>
    <w:rsid w:val="000B15D0"/>
    <w:rsid w:val="000B2ACA"/>
    <w:rsid w:val="000B78F2"/>
    <w:rsid w:val="000C191F"/>
    <w:rsid w:val="000C1F4A"/>
    <w:rsid w:val="000C1F53"/>
    <w:rsid w:val="000C2F43"/>
    <w:rsid w:val="000C514F"/>
    <w:rsid w:val="000C6A25"/>
    <w:rsid w:val="000D0AEE"/>
    <w:rsid w:val="000E307B"/>
    <w:rsid w:val="000E60C3"/>
    <w:rsid w:val="000E7C6E"/>
    <w:rsid w:val="000F13B4"/>
    <w:rsid w:val="000F2BE8"/>
    <w:rsid w:val="000F58E5"/>
    <w:rsid w:val="000F6AE5"/>
    <w:rsid w:val="000F7439"/>
    <w:rsid w:val="00110088"/>
    <w:rsid w:val="001119BF"/>
    <w:rsid w:val="00112747"/>
    <w:rsid w:val="00113A8A"/>
    <w:rsid w:val="00116D5C"/>
    <w:rsid w:val="00122132"/>
    <w:rsid w:val="00123352"/>
    <w:rsid w:val="00141192"/>
    <w:rsid w:val="00143CE0"/>
    <w:rsid w:val="00153E1C"/>
    <w:rsid w:val="001542C2"/>
    <w:rsid w:val="00154516"/>
    <w:rsid w:val="00155D84"/>
    <w:rsid w:val="00160547"/>
    <w:rsid w:val="00170441"/>
    <w:rsid w:val="0017124E"/>
    <w:rsid w:val="00174DF0"/>
    <w:rsid w:val="00180C8A"/>
    <w:rsid w:val="00182A19"/>
    <w:rsid w:val="00185885"/>
    <w:rsid w:val="001906EE"/>
    <w:rsid w:val="001A2123"/>
    <w:rsid w:val="001B0658"/>
    <w:rsid w:val="001B1EA7"/>
    <w:rsid w:val="001B3951"/>
    <w:rsid w:val="001B5269"/>
    <w:rsid w:val="001C3E87"/>
    <w:rsid w:val="001E0289"/>
    <w:rsid w:val="001E2A18"/>
    <w:rsid w:val="001E4C77"/>
    <w:rsid w:val="001F1019"/>
    <w:rsid w:val="001F155A"/>
    <w:rsid w:val="001F5823"/>
    <w:rsid w:val="0020130E"/>
    <w:rsid w:val="00202F08"/>
    <w:rsid w:val="00203D03"/>
    <w:rsid w:val="002047CA"/>
    <w:rsid w:val="002052A5"/>
    <w:rsid w:val="00206F00"/>
    <w:rsid w:val="00211527"/>
    <w:rsid w:val="00215A1C"/>
    <w:rsid w:val="00215C85"/>
    <w:rsid w:val="00216D2A"/>
    <w:rsid w:val="00217D7A"/>
    <w:rsid w:val="00221009"/>
    <w:rsid w:val="00230035"/>
    <w:rsid w:val="00231575"/>
    <w:rsid w:val="00232AC2"/>
    <w:rsid w:val="00232AEA"/>
    <w:rsid w:val="00233787"/>
    <w:rsid w:val="00236E0B"/>
    <w:rsid w:val="00240E8E"/>
    <w:rsid w:val="00250A00"/>
    <w:rsid w:val="002520EF"/>
    <w:rsid w:val="00253887"/>
    <w:rsid w:val="002640DE"/>
    <w:rsid w:val="002706E3"/>
    <w:rsid w:val="002803C2"/>
    <w:rsid w:val="002841BD"/>
    <w:rsid w:val="0028525E"/>
    <w:rsid w:val="00287187"/>
    <w:rsid w:val="002876CE"/>
    <w:rsid w:val="0029280A"/>
    <w:rsid w:val="00292A93"/>
    <w:rsid w:val="002947AB"/>
    <w:rsid w:val="002A0ED0"/>
    <w:rsid w:val="002A0FBB"/>
    <w:rsid w:val="002A25A7"/>
    <w:rsid w:val="002B14D0"/>
    <w:rsid w:val="002B19A5"/>
    <w:rsid w:val="002B7BE7"/>
    <w:rsid w:val="002B7E4B"/>
    <w:rsid w:val="002B7FA4"/>
    <w:rsid w:val="002C0643"/>
    <w:rsid w:val="002C120B"/>
    <w:rsid w:val="002C1AD9"/>
    <w:rsid w:val="002C23E6"/>
    <w:rsid w:val="002C3A4E"/>
    <w:rsid w:val="002C6644"/>
    <w:rsid w:val="002D0D57"/>
    <w:rsid w:val="002D0F78"/>
    <w:rsid w:val="002D1F9F"/>
    <w:rsid w:val="002D24FC"/>
    <w:rsid w:val="002D6C86"/>
    <w:rsid w:val="002E132E"/>
    <w:rsid w:val="002E20AC"/>
    <w:rsid w:val="002E3B11"/>
    <w:rsid w:val="002E52DE"/>
    <w:rsid w:val="002E664D"/>
    <w:rsid w:val="002E786E"/>
    <w:rsid w:val="002F0BA7"/>
    <w:rsid w:val="002F697D"/>
    <w:rsid w:val="00300F46"/>
    <w:rsid w:val="00305638"/>
    <w:rsid w:val="003118F4"/>
    <w:rsid w:val="00313251"/>
    <w:rsid w:val="00314B2B"/>
    <w:rsid w:val="00315EDA"/>
    <w:rsid w:val="003162F0"/>
    <w:rsid w:val="00317223"/>
    <w:rsid w:val="003174BA"/>
    <w:rsid w:val="00322CE7"/>
    <w:rsid w:val="00323B25"/>
    <w:rsid w:val="00324A5C"/>
    <w:rsid w:val="00324BC8"/>
    <w:rsid w:val="00325689"/>
    <w:rsid w:val="00326A23"/>
    <w:rsid w:val="00332294"/>
    <w:rsid w:val="00333CB3"/>
    <w:rsid w:val="00335169"/>
    <w:rsid w:val="00343E1E"/>
    <w:rsid w:val="00354E43"/>
    <w:rsid w:val="00362940"/>
    <w:rsid w:val="003721B2"/>
    <w:rsid w:val="0037632A"/>
    <w:rsid w:val="0037650D"/>
    <w:rsid w:val="00377F74"/>
    <w:rsid w:val="00383F00"/>
    <w:rsid w:val="003845FA"/>
    <w:rsid w:val="00390EF6"/>
    <w:rsid w:val="00393546"/>
    <w:rsid w:val="003A30D3"/>
    <w:rsid w:val="003A31A6"/>
    <w:rsid w:val="003A39E1"/>
    <w:rsid w:val="003B1C10"/>
    <w:rsid w:val="003B481F"/>
    <w:rsid w:val="003B4C33"/>
    <w:rsid w:val="003B4CAB"/>
    <w:rsid w:val="003B4DB1"/>
    <w:rsid w:val="003B5298"/>
    <w:rsid w:val="003B588A"/>
    <w:rsid w:val="003C328A"/>
    <w:rsid w:val="003C6225"/>
    <w:rsid w:val="003D4040"/>
    <w:rsid w:val="003D435E"/>
    <w:rsid w:val="003D58A0"/>
    <w:rsid w:val="003D65F7"/>
    <w:rsid w:val="003D79EB"/>
    <w:rsid w:val="003E3F09"/>
    <w:rsid w:val="003E4C13"/>
    <w:rsid w:val="003F1611"/>
    <w:rsid w:val="003F2390"/>
    <w:rsid w:val="003F773B"/>
    <w:rsid w:val="00400935"/>
    <w:rsid w:val="0040582E"/>
    <w:rsid w:val="0040641A"/>
    <w:rsid w:val="004101C9"/>
    <w:rsid w:val="0041236B"/>
    <w:rsid w:val="004219CC"/>
    <w:rsid w:val="0042481C"/>
    <w:rsid w:val="00434558"/>
    <w:rsid w:val="00441623"/>
    <w:rsid w:val="00441AD3"/>
    <w:rsid w:val="004445C1"/>
    <w:rsid w:val="004447DB"/>
    <w:rsid w:val="00445675"/>
    <w:rsid w:val="00447CFD"/>
    <w:rsid w:val="00447D58"/>
    <w:rsid w:val="0045159C"/>
    <w:rsid w:val="00452C6C"/>
    <w:rsid w:val="0045455E"/>
    <w:rsid w:val="00454D7C"/>
    <w:rsid w:val="00455347"/>
    <w:rsid w:val="00456D55"/>
    <w:rsid w:val="004605F8"/>
    <w:rsid w:val="00465094"/>
    <w:rsid w:val="00467E03"/>
    <w:rsid w:val="00473469"/>
    <w:rsid w:val="004738C4"/>
    <w:rsid w:val="00474AC2"/>
    <w:rsid w:val="00474D52"/>
    <w:rsid w:val="00481701"/>
    <w:rsid w:val="0048182F"/>
    <w:rsid w:val="0048347B"/>
    <w:rsid w:val="0049567C"/>
    <w:rsid w:val="00495B99"/>
    <w:rsid w:val="00497BD9"/>
    <w:rsid w:val="004A1C21"/>
    <w:rsid w:val="004A2781"/>
    <w:rsid w:val="004B4CEA"/>
    <w:rsid w:val="004C5EAE"/>
    <w:rsid w:val="004C7E9A"/>
    <w:rsid w:val="004D167F"/>
    <w:rsid w:val="004D4607"/>
    <w:rsid w:val="004E1728"/>
    <w:rsid w:val="004E389D"/>
    <w:rsid w:val="004E44A1"/>
    <w:rsid w:val="004F3043"/>
    <w:rsid w:val="004F4675"/>
    <w:rsid w:val="004F73C0"/>
    <w:rsid w:val="00504701"/>
    <w:rsid w:val="005078E3"/>
    <w:rsid w:val="00510CEF"/>
    <w:rsid w:val="00511322"/>
    <w:rsid w:val="00514A29"/>
    <w:rsid w:val="00514AEE"/>
    <w:rsid w:val="00514F9B"/>
    <w:rsid w:val="0051536C"/>
    <w:rsid w:val="0052070C"/>
    <w:rsid w:val="00520FA2"/>
    <w:rsid w:val="00521818"/>
    <w:rsid w:val="005236E1"/>
    <w:rsid w:val="00526D41"/>
    <w:rsid w:val="00531574"/>
    <w:rsid w:val="00535CBD"/>
    <w:rsid w:val="00537995"/>
    <w:rsid w:val="00544117"/>
    <w:rsid w:val="00547E50"/>
    <w:rsid w:val="0055091E"/>
    <w:rsid w:val="005509B9"/>
    <w:rsid w:val="00556CE1"/>
    <w:rsid w:val="0056437D"/>
    <w:rsid w:val="00565137"/>
    <w:rsid w:val="00573E4C"/>
    <w:rsid w:val="00575635"/>
    <w:rsid w:val="005766BB"/>
    <w:rsid w:val="00580D0D"/>
    <w:rsid w:val="005832B3"/>
    <w:rsid w:val="00585405"/>
    <w:rsid w:val="00585CC0"/>
    <w:rsid w:val="00593588"/>
    <w:rsid w:val="005A65EB"/>
    <w:rsid w:val="005A6C1F"/>
    <w:rsid w:val="005B180C"/>
    <w:rsid w:val="005B4D3B"/>
    <w:rsid w:val="005D545F"/>
    <w:rsid w:val="005E6715"/>
    <w:rsid w:val="005E7022"/>
    <w:rsid w:val="005F12A0"/>
    <w:rsid w:val="005F2332"/>
    <w:rsid w:val="005F4CB3"/>
    <w:rsid w:val="005F504D"/>
    <w:rsid w:val="005F6092"/>
    <w:rsid w:val="005F644F"/>
    <w:rsid w:val="00602CE7"/>
    <w:rsid w:val="00603C3F"/>
    <w:rsid w:val="006131A4"/>
    <w:rsid w:val="006133B5"/>
    <w:rsid w:val="00616F96"/>
    <w:rsid w:val="0062069A"/>
    <w:rsid w:val="006250CB"/>
    <w:rsid w:val="0062766A"/>
    <w:rsid w:val="00627B67"/>
    <w:rsid w:val="0064165B"/>
    <w:rsid w:val="00645825"/>
    <w:rsid w:val="006473C8"/>
    <w:rsid w:val="006473F7"/>
    <w:rsid w:val="006505E4"/>
    <w:rsid w:val="006510C7"/>
    <w:rsid w:val="0065175C"/>
    <w:rsid w:val="0065354A"/>
    <w:rsid w:val="006539BB"/>
    <w:rsid w:val="00655554"/>
    <w:rsid w:val="00656D13"/>
    <w:rsid w:val="00661026"/>
    <w:rsid w:val="0066382A"/>
    <w:rsid w:val="00670C89"/>
    <w:rsid w:val="00673728"/>
    <w:rsid w:val="00677A95"/>
    <w:rsid w:val="0068156C"/>
    <w:rsid w:val="00681ED7"/>
    <w:rsid w:val="00682F87"/>
    <w:rsid w:val="00685E2B"/>
    <w:rsid w:val="00690157"/>
    <w:rsid w:val="006966E1"/>
    <w:rsid w:val="006A08FE"/>
    <w:rsid w:val="006A3C3D"/>
    <w:rsid w:val="006A5944"/>
    <w:rsid w:val="006A6336"/>
    <w:rsid w:val="006B4C1F"/>
    <w:rsid w:val="006B4DC3"/>
    <w:rsid w:val="006B6254"/>
    <w:rsid w:val="006C1F9C"/>
    <w:rsid w:val="006C3DF1"/>
    <w:rsid w:val="006C3F5C"/>
    <w:rsid w:val="006C6152"/>
    <w:rsid w:val="006E1734"/>
    <w:rsid w:val="006E2A3C"/>
    <w:rsid w:val="006E3B77"/>
    <w:rsid w:val="006E4C21"/>
    <w:rsid w:val="006E50DB"/>
    <w:rsid w:val="006E75B0"/>
    <w:rsid w:val="006F3E5D"/>
    <w:rsid w:val="006F4BFE"/>
    <w:rsid w:val="00703347"/>
    <w:rsid w:val="007037D2"/>
    <w:rsid w:val="007074ED"/>
    <w:rsid w:val="0071278A"/>
    <w:rsid w:val="00713F0F"/>
    <w:rsid w:val="00715E23"/>
    <w:rsid w:val="00717475"/>
    <w:rsid w:val="00721CE7"/>
    <w:rsid w:val="0072266C"/>
    <w:rsid w:val="00732D55"/>
    <w:rsid w:val="00732E6B"/>
    <w:rsid w:val="00736F46"/>
    <w:rsid w:val="007374D8"/>
    <w:rsid w:val="00747C55"/>
    <w:rsid w:val="0075537A"/>
    <w:rsid w:val="007602D0"/>
    <w:rsid w:val="007635F0"/>
    <w:rsid w:val="007670CE"/>
    <w:rsid w:val="00774E77"/>
    <w:rsid w:val="007770A1"/>
    <w:rsid w:val="00780026"/>
    <w:rsid w:val="007821F8"/>
    <w:rsid w:val="0078257C"/>
    <w:rsid w:val="007828AF"/>
    <w:rsid w:val="00792E26"/>
    <w:rsid w:val="00796278"/>
    <w:rsid w:val="007A1C8B"/>
    <w:rsid w:val="007A38E5"/>
    <w:rsid w:val="007B047B"/>
    <w:rsid w:val="007B11BD"/>
    <w:rsid w:val="007B512F"/>
    <w:rsid w:val="007B64CE"/>
    <w:rsid w:val="007B6963"/>
    <w:rsid w:val="007C1CE4"/>
    <w:rsid w:val="007C7444"/>
    <w:rsid w:val="007D7657"/>
    <w:rsid w:val="007D76FE"/>
    <w:rsid w:val="007D7D5E"/>
    <w:rsid w:val="007E10E4"/>
    <w:rsid w:val="007E1CA7"/>
    <w:rsid w:val="007E2FB2"/>
    <w:rsid w:val="007E6280"/>
    <w:rsid w:val="007E77DF"/>
    <w:rsid w:val="007F2106"/>
    <w:rsid w:val="007F5FDC"/>
    <w:rsid w:val="007F6BAB"/>
    <w:rsid w:val="007F76E5"/>
    <w:rsid w:val="00810A0D"/>
    <w:rsid w:val="0081678E"/>
    <w:rsid w:val="00817B1C"/>
    <w:rsid w:val="008202AA"/>
    <w:rsid w:val="00832F92"/>
    <w:rsid w:val="00844498"/>
    <w:rsid w:val="00844BAF"/>
    <w:rsid w:val="00845745"/>
    <w:rsid w:val="00845981"/>
    <w:rsid w:val="00845D7F"/>
    <w:rsid w:val="00851B46"/>
    <w:rsid w:val="00853E4F"/>
    <w:rsid w:val="00854C1D"/>
    <w:rsid w:val="00855D6D"/>
    <w:rsid w:val="008622B5"/>
    <w:rsid w:val="0086312C"/>
    <w:rsid w:val="00863D58"/>
    <w:rsid w:val="00864382"/>
    <w:rsid w:val="0086667D"/>
    <w:rsid w:val="008668CA"/>
    <w:rsid w:val="0086741C"/>
    <w:rsid w:val="00867BE7"/>
    <w:rsid w:val="0087206A"/>
    <w:rsid w:val="00874CFC"/>
    <w:rsid w:val="00877B5C"/>
    <w:rsid w:val="00881E37"/>
    <w:rsid w:val="00882066"/>
    <w:rsid w:val="00885957"/>
    <w:rsid w:val="00894AD7"/>
    <w:rsid w:val="00896B9B"/>
    <w:rsid w:val="008A17BF"/>
    <w:rsid w:val="008A4584"/>
    <w:rsid w:val="008A5306"/>
    <w:rsid w:val="008B0858"/>
    <w:rsid w:val="008B1F4B"/>
    <w:rsid w:val="008B4800"/>
    <w:rsid w:val="008C0A2E"/>
    <w:rsid w:val="008C2D5B"/>
    <w:rsid w:val="008C4A32"/>
    <w:rsid w:val="008D01C3"/>
    <w:rsid w:val="008D32C2"/>
    <w:rsid w:val="008D380E"/>
    <w:rsid w:val="008D3F9A"/>
    <w:rsid w:val="008E025D"/>
    <w:rsid w:val="008E60A5"/>
    <w:rsid w:val="008E7BAB"/>
    <w:rsid w:val="008F15F2"/>
    <w:rsid w:val="008F3FF5"/>
    <w:rsid w:val="008F5206"/>
    <w:rsid w:val="008F5528"/>
    <w:rsid w:val="008F7536"/>
    <w:rsid w:val="009023E5"/>
    <w:rsid w:val="009033A2"/>
    <w:rsid w:val="00905C38"/>
    <w:rsid w:val="009112EE"/>
    <w:rsid w:val="009120EA"/>
    <w:rsid w:val="00912B64"/>
    <w:rsid w:val="00913EAF"/>
    <w:rsid w:val="00914013"/>
    <w:rsid w:val="00915E5B"/>
    <w:rsid w:val="00921A1C"/>
    <w:rsid w:val="00921F50"/>
    <w:rsid w:val="00924000"/>
    <w:rsid w:val="0092464F"/>
    <w:rsid w:val="009275F2"/>
    <w:rsid w:val="00933A8A"/>
    <w:rsid w:val="009349EC"/>
    <w:rsid w:val="00934B89"/>
    <w:rsid w:val="00937616"/>
    <w:rsid w:val="00941B29"/>
    <w:rsid w:val="009429DC"/>
    <w:rsid w:val="00943923"/>
    <w:rsid w:val="00943CEF"/>
    <w:rsid w:val="00943E12"/>
    <w:rsid w:val="00944988"/>
    <w:rsid w:val="00944E7D"/>
    <w:rsid w:val="00960512"/>
    <w:rsid w:val="00964B3B"/>
    <w:rsid w:val="00965DD9"/>
    <w:rsid w:val="009662DF"/>
    <w:rsid w:val="00966BC0"/>
    <w:rsid w:val="00966F7E"/>
    <w:rsid w:val="0097256C"/>
    <w:rsid w:val="0097431F"/>
    <w:rsid w:val="00981463"/>
    <w:rsid w:val="0098695E"/>
    <w:rsid w:val="00987F16"/>
    <w:rsid w:val="00990A4B"/>
    <w:rsid w:val="00992676"/>
    <w:rsid w:val="009A2B02"/>
    <w:rsid w:val="009A46D4"/>
    <w:rsid w:val="009B1CE5"/>
    <w:rsid w:val="009B4915"/>
    <w:rsid w:val="009C33AA"/>
    <w:rsid w:val="009C6796"/>
    <w:rsid w:val="009C6BCD"/>
    <w:rsid w:val="009D4A19"/>
    <w:rsid w:val="009D4BA4"/>
    <w:rsid w:val="009D644A"/>
    <w:rsid w:val="009E52EA"/>
    <w:rsid w:val="009E5DFE"/>
    <w:rsid w:val="009F09EA"/>
    <w:rsid w:val="009F21D4"/>
    <w:rsid w:val="009F38BB"/>
    <w:rsid w:val="009F53B1"/>
    <w:rsid w:val="009F5A22"/>
    <w:rsid w:val="00A016E6"/>
    <w:rsid w:val="00A04318"/>
    <w:rsid w:val="00A068D4"/>
    <w:rsid w:val="00A07016"/>
    <w:rsid w:val="00A07380"/>
    <w:rsid w:val="00A14609"/>
    <w:rsid w:val="00A15666"/>
    <w:rsid w:val="00A20549"/>
    <w:rsid w:val="00A211F0"/>
    <w:rsid w:val="00A2201D"/>
    <w:rsid w:val="00A222ED"/>
    <w:rsid w:val="00A22C17"/>
    <w:rsid w:val="00A3258F"/>
    <w:rsid w:val="00A33408"/>
    <w:rsid w:val="00A337F9"/>
    <w:rsid w:val="00A47924"/>
    <w:rsid w:val="00A507F6"/>
    <w:rsid w:val="00A5131A"/>
    <w:rsid w:val="00A51CED"/>
    <w:rsid w:val="00A54F3B"/>
    <w:rsid w:val="00A6297A"/>
    <w:rsid w:val="00A67890"/>
    <w:rsid w:val="00A73004"/>
    <w:rsid w:val="00A75748"/>
    <w:rsid w:val="00A75944"/>
    <w:rsid w:val="00A77431"/>
    <w:rsid w:val="00A81737"/>
    <w:rsid w:val="00A81783"/>
    <w:rsid w:val="00A81DA8"/>
    <w:rsid w:val="00A82BC1"/>
    <w:rsid w:val="00A84C4A"/>
    <w:rsid w:val="00A902B0"/>
    <w:rsid w:val="00A90B2A"/>
    <w:rsid w:val="00A95569"/>
    <w:rsid w:val="00A965A1"/>
    <w:rsid w:val="00AA20FD"/>
    <w:rsid w:val="00AA24A7"/>
    <w:rsid w:val="00AA5095"/>
    <w:rsid w:val="00AA5D6B"/>
    <w:rsid w:val="00AA5E19"/>
    <w:rsid w:val="00AB4A97"/>
    <w:rsid w:val="00AB529F"/>
    <w:rsid w:val="00AB5BD2"/>
    <w:rsid w:val="00AC1714"/>
    <w:rsid w:val="00AC4CED"/>
    <w:rsid w:val="00AC732A"/>
    <w:rsid w:val="00AD1D3E"/>
    <w:rsid w:val="00AD41CB"/>
    <w:rsid w:val="00AD4D49"/>
    <w:rsid w:val="00AE1CFB"/>
    <w:rsid w:val="00AE36DF"/>
    <w:rsid w:val="00AE563B"/>
    <w:rsid w:val="00AE7791"/>
    <w:rsid w:val="00AF020F"/>
    <w:rsid w:val="00AF10B8"/>
    <w:rsid w:val="00AF30ED"/>
    <w:rsid w:val="00AF4CE5"/>
    <w:rsid w:val="00B0432A"/>
    <w:rsid w:val="00B12BE6"/>
    <w:rsid w:val="00B139F0"/>
    <w:rsid w:val="00B14469"/>
    <w:rsid w:val="00B14521"/>
    <w:rsid w:val="00B147E7"/>
    <w:rsid w:val="00B24180"/>
    <w:rsid w:val="00B315D6"/>
    <w:rsid w:val="00B34C4B"/>
    <w:rsid w:val="00B3571B"/>
    <w:rsid w:val="00B37A9C"/>
    <w:rsid w:val="00B41CC0"/>
    <w:rsid w:val="00B46F51"/>
    <w:rsid w:val="00B5068F"/>
    <w:rsid w:val="00B51B57"/>
    <w:rsid w:val="00B5336C"/>
    <w:rsid w:val="00B552D9"/>
    <w:rsid w:val="00B642B8"/>
    <w:rsid w:val="00B65D05"/>
    <w:rsid w:val="00B722DD"/>
    <w:rsid w:val="00B7677F"/>
    <w:rsid w:val="00B768E1"/>
    <w:rsid w:val="00B76A8F"/>
    <w:rsid w:val="00B90B5B"/>
    <w:rsid w:val="00B91F37"/>
    <w:rsid w:val="00B9416B"/>
    <w:rsid w:val="00B97351"/>
    <w:rsid w:val="00BA1284"/>
    <w:rsid w:val="00BA2C61"/>
    <w:rsid w:val="00BA32A7"/>
    <w:rsid w:val="00BA37A6"/>
    <w:rsid w:val="00BA5BDC"/>
    <w:rsid w:val="00BB18D0"/>
    <w:rsid w:val="00BB4C7A"/>
    <w:rsid w:val="00BC3BD5"/>
    <w:rsid w:val="00BC464E"/>
    <w:rsid w:val="00BC4D50"/>
    <w:rsid w:val="00BC679C"/>
    <w:rsid w:val="00BD0D2D"/>
    <w:rsid w:val="00BD0D35"/>
    <w:rsid w:val="00BD36A3"/>
    <w:rsid w:val="00BE3212"/>
    <w:rsid w:val="00BE48EC"/>
    <w:rsid w:val="00BE68A3"/>
    <w:rsid w:val="00BF55F6"/>
    <w:rsid w:val="00BF6A58"/>
    <w:rsid w:val="00BF7AC8"/>
    <w:rsid w:val="00C10F38"/>
    <w:rsid w:val="00C12AEB"/>
    <w:rsid w:val="00C16314"/>
    <w:rsid w:val="00C21771"/>
    <w:rsid w:val="00C22014"/>
    <w:rsid w:val="00C2204B"/>
    <w:rsid w:val="00C31507"/>
    <w:rsid w:val="00C31C36"/>
    <w:rsid w:val="00C413DC"/>
    <w:rsid w:val="00C45E9B"/>
    <w:rsid w:val="00C57F94"/>
    <w:rsid w:val="00C60420"/>
    <w:rsid w:val="00C60637"/>
    <w:rsid w:val="00C61F7E"/>
    <w:rsid w:val="00C62BFB"/>
    <w:rsid w:val="00C66366"/>
    <w:rsid w:val="00C67B87"/>
    <w:rsid w:val="00C83A77"/>
    <w:rsid w:val="00C8473F"/>
    <w:rsid w:val="00C850DC"/>
    <w:rsid w:val="00C862A7"/>
    <w:rsid w:val="00C863FB"/>
    <w:rsid w:val="00C87D5E"/>
    <w:rsid w:val="00C87D81"/>
    <w:rsid w:val="00C90700"/>
    <w:rsid w:val="00C90CAE"/>
    <w:rsid w:val="00C9123B"/>
    <w:rsid w:val="00C9380F"/>
    <w:rsid w:val="00C9507E"/>
    <w:rsid w:val="00CA25A0"/>
    <w:rsid w:val="00CA3C16"/>
    <w:rsid w:val="00CA5291"/>
    <w:rsid w:val="00CB230A"/>
    <w:rsid w:val="00CB2D24"/>
    <w:rsid w:val="00CB3673"/>
    <w:rsid w:val="00CB5E06"/>
    <w:rsid w:val="00CC3A46"/>
    <w:rsid w:val="00CC7171"/>
    <w:rsid w:val="00CD20B1"/>
    <w:rsid w:val="00CD3841"/>
    <w:rsid w:val="00CD4CBB"/>
    <w:rsid w:val="00CD5C2E"/>
    <w:rsid w:val="00CD5F26"/>
    <w:rsid w:val="00CD7660"/>
    <w:rsid w:val="00CE4836"/>
    <w:rsid w:val="00CE4847"/>
    <w:rsid w:val="00CE61DC"/>
    <w:rsid w:val="00CE6D41"/>
    <w:rsid w:val="00CF47E7"/>
    <w:rsid w:val="00CF5722"/>
    <w:rsid w:val="00CF680F"/>
    <w:rsid w:val="00CF7C50"/>
    <w:rsid w:val="00D04FAE"/>
    <w:rsid w:val="00D12E6D"/>
    <w:rsid w:val="00D1674B"/>
    <w:rsid w:val="00D23349"/>
    <w:rsid w:val="00D24032"/>
    <w:rsid w:val="00D24AD3"/>
    <w:rsid w:val="00D24E33"/>
    <w:rsid w:val="00D273CC"/>
    <w:rsid w:val="00D3031C"/>
    <w:rsid w:val="00D447B7"/>
    <w:rsid w:val="00D45648"/>
    <w:rsid w:val="00D51014"/>
    <w:rsid w:val="00D51473"/>
    <w:rsid w:val="00D53B2E"/>
    <w:rsid w:val="00D60F9D"/>
    <w:rsid w:val="00D60FBC"/>
    <w:rsid w:val="00D6224F"/>
    <w:rsid w:val="00D63DF6"/>
    <w:rsid w:val="00D67B59"/>
    <w:rsid w:val="00D71CD4"/>
    <w:rsid w:val="00D72006"/>
    <w:rsid w:val="00D730BC"/>
    <w:rsid w:val="00D75340"/>
    <w:rsid w:val="00D76C69"/>
    <w:rsid w:val="00D81FFE"/>
    <w:rsid w:val="00D86C04"/>
    <w:rsid w:val="00D93D8B"/>
    <w:rsid w:val="00D93EF0"/>
    <w:rsid w:val="00D94459"/>
    <w:rsid w:val="00D950EE"/>
    <w:rsid w:val="00D96ADC"/>
    <w:rsid w:val="00DA0739"/>
    <w:rsid w:val="00DB268C"/>
    <w:rsid w:val="00DB333B"/>
    <w:rsid w:val="00DB469B"/>
    <w:rsid w:val="00DB6648"/>
    <w:rsid w:val="00DC2431"/>
    <w:rsid w:val="00DC4AF5"/>
    <w:rsid w:val="00DD0F7A"/>
    <w:rsid w:val="00DE4D88"/>
    <w:rsid w:val="00DE4EB7"/>
    <w:rsid w:val="00DE4FA5"/>
    <w:rsid w:val="00DF5DB4"/>
    <w:rsid w:val="00DF60B5"/>
    <w:rsid w:val="00DF6422"/>
    <w:rsid w:val="00E00705"/>
    <w:rsid w:val="00E007DB"/>
    <w:rsid w:val="00E01946"/>
    <w:rsid w:val="00E046D1"/>
    <w:rsid w:val="00E04EF8"/>
    <w:rsid w:val="00E11A63"/>
    <w:rsid w:val="00E11BCE"/>
    <w:rsid w:val="00E11D82"/>
    <w:rsid w:val="00E12CD6"/>
    <w:rsid w:val="00E14F76"/>
    <w:rsid w:val="00E15333"/>
    <w:rsid w:val="00E1693F"/>
    <w:rsid w:val="00E16DF5"/>
    <w:rsid w:val="00E23844"/>
    <w:rsid w:val="00E26607"/>
    <w:rsid w:val="00E274C9"/>
    <w:rsid w:val="00E27C03"/>
    <w:rsid w:val="00E33A6B"/>
    <w:rsid w:val="00E34291"/>
    <w:rsid w:val="00E34527"/>
    <w:rsid w:val="00E37CCC"/>
    <w:rsid w:val="00E37EA6"/>
    <w:rsid w:val="00E41392"/>
    <w:rsid w:val="00E45975"/>
    <w:rsid w:val="00E5360E"/>
    <w:rsid w:val="00E56FED"/>
    <w:rsid w:val="00E5715B"/>
    <w:rsid w:val="00E61DAA"/>
    <w:rsid w:val="00E6324C"/>
    <w:rsid w:val="00E65BB0"/>
    <w:rsid w:val="00E731FF"/>
    <w:rsid w:val="00E74DDF"/>
    <w:rsid w:val="00E7780A"/>
    <w:rsid w:val="00E84438"/>
    <w:rsid w:val="00E9165A"/>
    <w:rsid w:val="00E94A42"/>
    <w:rsid w:val="00E96D30"/>
    <w:rsid w:val="00EA0B7A"/>
    <w:rsid w:val="00EA4FF4"/>
    <w:rsid w:val="00EA6089"/>
    <w:rsid w:val="00EA7409"/>
    <w:rsid w:val="00EA749F"/>
    <w:rsid w:val="00EB089D"/>
    <w:rsid w:val="00EB1A34"/>
    <w:rsid w:val="00EB1B9E"/>
    <w:rsid w:val="00EB4ACB"/>
    <w:rsid w:val="00EB4EB4"/>
    <w:rsid w:val="00EB54FB"/>
    <w:rsid w:val="00EC3D4A"/>
    <w:rsid w:val="00EC7B92"/>
    <w:rsid w:val="00ED0A42"/>
    <w:rsid w:val="00ED6F9F"/>
    <w:rsid w:val="00EE4309"/>
    <w:rsid w:val="00EE5EFB"/>
    <w:rsid w:val="00EE790E"/>
    <w:rsid w:val="00EF1A07"/>
    <w:rsid w:val="00EF458A"/>
    <w:rsid w:val="00F007C9"/>
    <w:rsid w:val="00F03483"/>
    <w:rsid w:val="00F070C8"/>
    <w:rsid w:val="00F10484"/>
    <w:rsid w:val="00F11232"/>
    <w:rsid w:val="00F12956"/>
    <w:rsid w:val="00F20521"/>
    <w:rsid w:val="00F2085B"/>
    <w:rsid w:val="00F31FB5"/>
    <w:rsid w:val="00F35A3D"/>
    <w:rsid w:val="00F376C4"/>
    <w:rsid w:val="00F37A97"/>
    <w:rsid w:val="00F51108"/>
    <w:rsid w:val="00F516A3"/>
    <w:rsid w:val="00F51F10"/>
    <w:rsid w:val="00F52794"/>
    <w:rsid w:val="00F53C03"/>
    <w:rsid w:val="00F63362"/>
    <w:rsid w:val="00F64639"/>
    <w:rsid w:val="00F651E5"/>
    <w:rsid w:val="00F73FF5"/>
    <w:rsid w:val="00F740E4"/>
    <w:rsid w:val="00F7410A"/>
    <w:rsid w:val="00F81850"/>
    <w:rsid w:val="00F83E49"/>
    <w:rsid w:val="00F8501C"/>
    <w:rsid w:val="00FA3B3E"/>
    <w:rsid w:val="00FB51BA"/>
    <w:rsid w:val="00FB54C0"/>
    <w:rsid w:val="00FC085A"/>
    <w:rsid w:val="00FC3FD7"/>
    <w:rsid w:val="00FC5315"/>
    <w:rsid w:val="00FD650C"/>
    <w:rsid w:val="00FD6653"/>
    <w:rsid w:val="00FD6AE0"/>
    <w:rsid w:val="00FF0B8F"/>
    <w:rsid w:val="032571B6"/>
    <w:rsid w:val="09FC7D1D"/>
    <w:rsid w:val="1372D69B"/>
    <w:rsid w:val="2F79D3C6"/>
    <w:rsid w:val="3225E940"/>
    <w:rsid w:val="335DCE4C"/>
    <w:rsid w:val="3F507794"/>
    <w:rsid w:val="45737984"/>
    <w:rsid w:val="587ADA22"/>
    <w:rsid w:val="64D1B613"/>
    <w:rsid w:val="7A40E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4F981"/>
  <w15:chartTrackingRefBased/>
  <w15:docId w15:val="{05DD81E0-9138-4598-92F8-231C56341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2C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9"/>
    <w:qFormat/>
    <w:rsid w:val="00B51B57"/>
    <w:pPr>
      <w:spacing w:before="22"/>
      <w:ind w:left="432" w:hanging="432"/>
      <w:outlineLvl w:val="0"/>
    </w:pPr>
    <w:rPr>
      <w:rFonts w:eastAsia="Calibri" w:cs="Calibri"/>
      <w:b/>
      <w:b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850DC"/>
    <w:pPr>
      <w:keepNext/>
      <w:keepLines/>
      <w:spacing w:before="40"/>
      <w:ind w:left="720" w:hanging="72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51B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B51B57"/>
    <w:pPr>
      <w:ind w:left="1297" w:hanging="349"/>
    </w:pPr>
  </w:style>
  <w:style w:type="paragraph" w:customStyle="1" w:styleId="TableParagraph">
    <w:name w:val="Table Paragraph"/>
    <w:basedOn w:val="Normale"/>
    <w:uiPriority w:val="1"/>
    <w:qFormat/>
    <w:rsid w:val="00B51B57"/>
  </w:style>
  <w:style w:type="character" w:styleId="Rimandocommento">
    <w:name w:val="annotation reference"/>
    <w:basedOn w:val="Carpredefinitoparagrafo"/>
    <w:uiPriority w:val="99"/>
    <w:semiHidden/>
    <w:unhideWhenUsed/>
    <w:rsid w:val="00B51B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51B5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51B57"/>
    <w:rPr>
      <w:rFonts w:ascii="Times New Roman" w:eastAsia="Times New Roman" w:hAnsi="Times New Roman" w:cs="Times New Roman"/>
      <w:sz w:val="20"/>
      <w:szCs w:val="20"/>
    </w:rPr>
  </w:style>
  <w:style w:type="character" w:customStyle="1" w:styleId="normaltextrun">
    <w:name w:val="normaltextrun"/>
    <w:basedOn w:val="Carpredefinitoparagrafo"/>
    <w:rsid w:val="00B51B57"/>
  </w:style>
  <w:style w:type="character" w:customStyle="1" w:styleId="Titolo1Carattere">
    <w:name w:val="Titolo 1 Carattere"/>
    <w:basedOn w:val="Carpredefinitoparagrafo"/>
    <w:link w:val="Titolo1"/>
    <w:uiPriority w:val="9"/>
    <w:rsid w:val="00B51B57"/>
    <w:rPr>
      <w:rFonts w:ascii="Times New Roman" w:eastAsia="Calibri" w:hAnsi="Times New Roman" w:cs="Calibri"/>
      <w:b/>
      <w:bCs/>
      <w:sz w:val="28"/>
      <w:szCs w:val="2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A5D6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A5D6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850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233787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33787"/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F1295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2201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2201D"/>
    <w:rPr>
      <w:color w:val="605E5C"/>
      <w:shd w:val="clear" w:color="auto" w:fill="E1DFDD"/>
    </w:rPr>
  </w:style>
  <w:style w:type="paragraph" w:styleId="Titolosommario">
    <w:name w:val="TOC Heading"/>
    <w:basedOn w:val="Titolo1"/>
    <w:next w:val="Normale"/>
    <w:uiPriority w:val="39"/>
    <w:unhideWhenUsed/>
    <w:qFormat/>
    <w:rsid w:val="00D04FAE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ommario1">
    <w:name w:val="toc 1"/>
    <w:basedOn w:val="Normale"/>
    <w:next w:val="Normale"/>
    <w:autoRedefine/>
    <w:uiPriority w:val="39"/>
    <w:unhideWhenUsed/>
    <w:rsid w:val="00DE4EB7"/>
    <w:pPr>
      <w:spacing w:after="100"/>
    </w:pPr>
    <w:rPr>
      <w:rFonts w:asciiTheme="minorHAnsi" w:hAnsiTheme="minorHAnsi"/>
    </w:rPr>
  </w:style>
  <w:style w:type="paragraph" w:styleId="Sommario2">
    <w:name w:val="toc 2"/>
    <w:basedOn w:val="Normale"/>
    <w:next w:val="Normale"/>
    <w:autoRedefine/>
    <w:uiPriority w:val="39"/>
    <w:unhideWhenUsed/>
    <w:rsid w:val="00D04FA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D04FAE"/>
    <w:pPr>
      <w:spacing w:after="100"/>
      <w:ind w:left="440"/>
    </w:pPr>
  </w:style>
  <w:style w:type="paragraph" w:styleId="Intestazione">
    <w:name w:val="header"/>
    <w:basedOn w:val="Normale"/>
    <w:link w:val="IntestazioneCarattere"/>
    <w:unhideWhenUsed/>
    <w:rsid w:val="006A5944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C03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6A5944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3C03"/>
    <w:rPr>
      <w:rFonts w:ascii="Times New Roman" w:eastAsia="Times New Roman" w:hAnsi="Times New Roman" w:cs="Times New Roman"/>
    </w:rPr>
  </w:style>
  <w:style w:type="paragraph" w:styleId="NormaleWeb">
    <w:name w:val="Normal (Web)"/>
    <w:basedOn w:val="Normale"/>
    <w:uiPriority w:val="99"/>
    <w:unhideWhenUsed/>
    <w:rsid w:val="000016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customStyle="1" w:styleId="eop">
    <w:name w:val="eop"/>
    <w:basedOn w:val="Carpredefinitoparagrafo"/>
    <w:rsid w:val="00921A1C"/>
  </w:style>
  <w:style w:type="paragraph" w:styleId="Revisione">
    <w:name w:val="Revision"/>
    <w:hidden/>
    <w:uiPriority w:val="99"/>
    <w:semiHidden/>
    <w:rsid w:val="00921A1C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paragraph">
    <w:name w:val="paragraph"/>
    <w:basedOn w:val="Normale"/>
    <w:rsid w:val="002C23E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6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7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96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3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2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3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9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8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package" Target="embeddings/Microsoft_Excel_Worksheet.xlsx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B1A8EC9097E142ABBECAE8D2C961F1" ma:contentTypeVersion="6" ma:contentTypeDescription="Creare un nuovo documento." ma:contentTypeScope="" ma:versionID="5f47c360df431f6e36a0bee8ffa75ad5">
  <xsd:schema xmlns:xsd="http://www.w3.org/2001/XMLSchema" xmlns:xs="http://www.w3.org/2001/XMLSchema" xmlns:p="http://schemas.microsoft.com/office/2006/metadata/properties" xmlns:ns2="9c7fe4a4-3acc-4647-9186-51d9a22ec576" xmlns:ns3="c9d1aa21-fbc5-4f22-b0ed-bafbb80072fa" targetNamespace="http://schemas.microsoft.com/office/2006/metadata/properties" ma:root="true" ma:fieldsID="21345e8928ee19d5d45a68d03449c68e" ns2:_="" ns3:_="">
    <xsd:import namespace="9c7fe4a4-3acc-4647-9186-51d9a22ec576"/>
    <xsd:import namespace="c9d1aa21-fbc5-4f22-b0ed-bafbb8007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fe4a4-3acc-4647-9186-51d9a22ec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1aa21-fbc5-4f22-b0ed-bafbb8007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C9CE6-90EF-4A8B-819B-F3EA84479E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992AFE-419E-460D-A854-98CFCDF31B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FF12EF-BECE-4567-881F-F0293E6E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7fe4a4-3acc-4647-9186-51d9a22ec576"/>
    <ds:schemaRef ds:uri="c9d1aa21-fbc5-4f22-b0ed-bafbb80072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AC4182-E682-41E5-89A7-9D6736A7D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1294</Words>
  <Characters>7376</Characters>
  <Application>Microsoft Office Word</Application>
  <DocSecurity>0</DocSecurity>
  <Lines>61</Lines>
  <Paragraphs>17</Paragraphs>
  <ScaleCrop>false</ScaleCrop>
  <Company/>
  <LinksUpToDate>false</LinksUpToDate>
  <CharactersWithSpaces>8653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Andrea Munforti</cp:lastModifiedBy>
  <cp:revision>10</cp:revision>
  <dcterms:created xsi:type="dcterms:W3CDTF">2023-06-07T09:56:00Z</dcterms:created>
  <dcterms:modified xsi:type="dcterms:W3CDTF">2025-09-15T10:13:00Z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0x01010099B1A8EC9097E142ABBECAE8D2C961F1</vt:lpwstr>
  </property>
  <property fmtid="{D5CDD505-2E9C-101B-9397-08002B2CF9AE}" pid="3" name="MediaServiceImageTags">
    <vt:lpwstr/>
  </property>
</Properties>
</file>